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46F6B">
      <w:pPr>
        <w:pStyle w:val="21"/>
        <w:tabs>
          <w:tab w:val="left" w:pos="1530"/>
        </w:tabs>
        <w:spacing w:after="156" w:line="360" w:lineRule="auto"/>
        <w:rPr>
          <w:rFonts w:hint="eastAsia" w:ascii="仿宋" w:hAnsi="仿宋" w:eastAsia="仿宋" w:cs="仿宋"/>
          <w:color w:val="auto"/>
        </w:rPr>
      </w:pPr>
    </w:p>
    <w:p w14:paraId="0D3A1EDC">
      <w:pPr>
        <w:snapToGrid w:val="0"/>
        <w:spacing w:before="1872" w:beforeLines="600" w:line="480" w:lineRule="auto"/>
        <w:jc w:val="center"/>
        <w:rPr>
          <w:rFonts w:hint="eastAsia" w:ascii="仿宋" w:hAnsi="仿宋" w:eastAsia="仿宋" w:cs="仿宋"/>
          <w:b/>
          <w:color w:val="auto"/>
          <w:sz w:val="48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48"/>
          <w:szCs w:val="44"/>
          <w:lang w:val="en-US" w:eastAsia="zh-CN"/>
        </w:rPr>
        <w:t>环金采筑</w:t>
      </w:r>
      <w:r>
        <w:rPr>
          <w:rFonts w:hint="eastAsia" w:ascii="仿宋" w:hAnsi="仿宋" w:eastAsia="仿宋" w:cs="仿宋"/>
          <w:b/>
          <w:color w:val="auto"/>
          <w:sz w:val="48"/>
          <w:szCs w:val="44"/>
        </w:rPr>
        <w:t>平台</w:t>
      </w:r>
      <w:r>
        <w:rPr>
          <w:rFonts w:hint="eastAsia" w:ascii="仿宋" w:hAnsi="仿宋" w:eastAsia="仿宋" w:cs="仿宋"/>
          <w:b/>
          <w:color w:val="auto"/>
          <w:sz w:val="48"/>
          <w:szCs w:val="44"/>
          <w:lang w:val="en-US" w:eastAsia="zh-CN"/>
        </w:rPr>
        <w:t>供应商报名及注册</w:t>
      </w:r>
    </w:p>
    <w:p w14:paraId="214FD187">
      <w:pPr>
        <w:spacing w:before="312" w:beforeLines="100"/>
        <w:jc w:val="center"/>
        <w:rPr>
          <w:rFonts w:hint="eastAsia" w:ascii="仿宋" w:hAnsi="仿宋" w:eastAsia="仿宋" w:cs="仿宋"/>
          <w:b/>
          <w:color w:val="auto"/>
          <w:sz w:val="48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48"/>
          <w:szCs w:val="44"/>
        </w:rPr>
        <w:t>操作手册V</w:t>
      </w:r>
      <w:r>
        <w:rPr>
          <w:rFonts w:hint="eastAsia" w:ascii="仿宋" w:hAnsi="仿宋" w:eastAsia="仿宋" w:cs="仿宋"/>
          <w:b/>
          <w:color w:val="auto"/>
          <w:sz w:val="48"/>
          <w:szCs w:val="44"/>
          <w:lang w:val="en-US" w:eastAsia="zh-CN"/>
        </w:rPr>
        <w:t>1.0</w:t>
      </w:r>
    </w:p>
    <w:tbl>
      <w:tblPr>
        <w:tblStyle w:val="15"/>
        <w:tblpPr w:leftFromText="180" w:rightFromText="180" w:vertAnchor="text" w:horzAnchor="page" w:tblpX="2389" w:tblpY="751"/>
        <w:tblOverlap w:val="never"/>
        <w:tblW w:w="796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96" w:type="dxa"/>
          <w:bottom w:w="0" w:type="dxa"/>
          <w:right w:w="96" w:type="dxa"/>
        </w:tblCellMar>
      </w:tblPr>
      <w:tblGrid>
        <w:gridCol w:w="2196"/>
        <w:gridCol w:w="1644"/>
        <w:gridCol w:w="1680"/>
        <w:gridCol w:w="2448"/>
      </w:tblGrid>
      <w:tr w14:paraId="78745B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662" w:hRule="atLeast"/>
          <w:tblHeader/>
        </w:trPr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</w:tcPr>
          <w:p w14:paraId="24204635">
            <w:pPr>
              <w:pStyle w:val="32"/>
              <w:jc w:val="center"/>
              <w:rPr>
                <w:rFonts w:hint="eastAsia" w:ascii="仿宋" w:hAnsi="仿宋" w:eastAsia="仿宋" w:cs="仿宋"/>
                <w:color w:val="auto"/>
                <w:sz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</w:rPr>
              <w:t>日期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</w:tcPr>
          <w:p w14:paraId="1E5E0C1B">
            <w:pPr>
              <w:pStyle w:val="32"/>
              <w:jc w:val="center"/>
              <w:rPr>
                <w:rFonts w:hint="eastAsia" w:ascii="仿宋" w:hAnsi="仿宋" w:eastAsia="仿宋" w:cs="仿宋"/>
                <w:color w:val="auto"/>
                <w:sz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</w:rPr>
              <w:t>作者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</w:tcPr>
          <w:p w14:paraId="3E9AB7DC">
            <w:pPr>
              <w:pStyle w:val="32"/>
              <w:jc w:val="center"/>
              <w:rPr>
                <w:rFonts w:hint="eastAsia" w:ascii="仿宋" w:hAnsi="仿宋" w:eastAsia="仿宋" w:cs="仿宋"/>
                <w:color w:val="auto"/>
                <w:sz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</w:rPr>
              <w:t>版本号</w:t>
            </w:r>
          </w:p>
        </w:tc>
        <w:tc>
          <w:tcPr>
            <w:tcW w:w="2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</w:tcPr>
          <w:p w14:paraId="3A295D58">
            <w:pPr>
              <w:pStyle w:val="32"/>
              <w:jc w:val="center"/>
              <w:rPr>
                <w:rFonts w:hint="eastAsia" w:ascii="仿宋" w:hAnsi="仿宋" w:eastAsia="仿宋" w:cs="仿宋"/>
                <w:color w:val="auto"/>
                <w:sz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</w:rPr>
              <w:t>更改记录</w:t>
            </w:r>
          </w:p>
        </w:tc>
      </w:tr>
      <w:tr w14:paraId="3F45C73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412" w:hRule="atLeast"/>
          <w:tblHeader/>
        </w:trPr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642CE13">
            <w:pPr>
              <w:pStyle w:val="33"/>
              <w:jc w:val="center"/>
              <w:rPr>
                <w:rFonts w:hint="eastAsia" w:ascii="仿宋" w:hAnsi="仿宋" w:eastAsia="仿宋" w:cs="仿宋"/>
                <w:color w:val="auto"/>
                <w:sz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lang w:val="en-US" w:eastAsia="zh-CN"/>
              </w:rPr>
              <w:t>2025-10-15</w:t>
            </w: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096EE61">
            <w:pPr>
              <w:pStyle w:val="33"/>
              <w:jc w:val="center"/>
              <w:rPr>
                <w:rFonts w:hint="eastAsia" w:ascii="仿宋" w:hAnsi="仿宋" w:eastAsia="仿宋" w:cs="仿宋"/>
                <w:color w:val="auto"/>
                <w:sz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lang w:val="en-US" w:eastAsia="zh-CN"/>
              </w:rPr>
              <w:t>韩慧祥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9C5A8C8">
            <w:pPr>
              <w:pStyle w:val="33"/>
              <w:jc w:val="center"/>
              <w:rPr>
                <w:rFonts w:hint="eastAsia" w:ascii="仿宋" w:hAnsi="仿宋" w:eastAsia="仿宋" w:cs="仿宋"/>
                <w:color w:val="auto"/>
                <w:sz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lang w:val="en-US" w:eastAsia="zh-CN"/>
              </w:rPr>
              <w:t>V1.0</w:t>
            </w:r>
          </w:p>
        </w:tc>
        <w:tc>
          <w:tcPr>
            <w:tcW w:w="24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619483F">
            <w:pPr>
              <w:pStyle w:val="33"/>
              <w:jc w:val="center"/>
              <w:rPr>
                <w:rFonts w:hint="eastAsia" w:ascii="仿宋" w:hAnsi="仿宋" w:eastAsia="仿宋" w:cs="仿宋"/>
                <w:color w:val="auto"/>
                <w:sz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0"/>
                <w:lang w:val="en-US" w:eastAsia="zh-CN"/>
              </w:rPr>
              <w:t>更新</w:t>
            </w:r>
          </w:p>
        </w:tc>
      </w:tr>
    </w:tbl>
    <w:p w14:paraId="6363F2D2">
      <w:pPr>
        <w:spacing w:before="312" w:beforeLines="100"/>
        <w:jc w:val="center"/>
        <w:rPr>
          <w:rFonts w:hint="eastAsia" w:ascii="仿宋" w:hAnsi="仿宋" w:eastAsia="仿宋" w:cs="仿宋"/>
          <w:b/>
          <w:color w:val="auto"/>
          <w:sz w:val="48"/>
          <w:szCs w:val="44"/>
        </w:rPr>
      </w:pPr>
    </w:p>
    <w:p w14:paraId="0CB8F806">
      <w:pPr>
        <w:jc w:val="center"/>
        <w:rPr>
          <w:rFonts w:hint="eastAsia" w:ascii="仿宋" w:hAnsi="仿宋" w:eastAsia="仿宋" w:cs="仿宋"/>
          <w:b/>
          <w:color w:val="auto"/>
          <w:sz w:val="44"/>
          <w:szCs w:val="44"/>
          <w:u w:val="single"/>
        </w:rPr>
      </w:pPr>
    </w:p>
    <w:p w14:paraId="1DDFAEF1">
      <w:pPr>
        <w:snapToGrid w:val="0"/>
        <w:spacing w:line="480" w:lineRule="auto"/>
        <w:rPr>
          <w:rStyle w:val="19"/>
          <w:rFonts w:hint="eastAsia" w:ascii="仿宋" w:hAnsi="仿宋" w:eastAsia="仿宋" w:cs="仿宋"/>
          <w:b/>
          <w:color w:val="auto"/>
          <w:spacing w:val="40"/>
        </w:rPr>
      </w:pPr>
    </w:p>
    <w:p w14:paraId="43885FCA">
      <w:pPr>
        <w:snapToGrid w:val="0"/>
        <w:spacing w:line="480" w:lineRule="auto"/>
        <w:rPr>
          <w:rStyle w:val="19"/>
          <w:rFonts w:hint="eastAsia" w:ascii="仿宋" w:hAnsi="仿宋" w:eastAsia="仿宋" w:cs="仿宋"/>
          <w:b/>
          <w:color w:val="auto"/>
          <w:spacing w:val="40"/>
        </w:rPr>
      </w:pPr>
    </w:p>
    <w:p w14:paraId="607D8043">
      <w:pPr>
        <w:snapToGrid w:val="0"/>
        <w:spacing w:line="480" w:lineRule="auto"/>
        <w:rPr>
          <w:rStyle w:val="19"/>
          <w:rFonts w:hint="eastAsia" w:ascii="仿宋" w:hAnsi="仿宋" w:eastAsia="仿宋" w:cs="仿宋"/>
          <w:b/>
          <w:color w:val="auto"/>
          <w:spacing w:val="40"/>
        </w:rPr>
      </w:pPr>
    </w:p>
    <w:p w14:paraId="47BD7B89">
      <w:pPr>
        <w:snapToGrid w:val="0"/>
        <w:spacing w:line="480" w:lineRule="auto"/>
        <w:rPr>
          <w:rStyle w:val="19"/>
          <w:rFonts w:hint="eastAsia" w:ascii="仿宋" w:hAnsi="仿宋" w:eastAsia="仿宋" w:cs="仿宋"/>
          <w:b/>
          <w:color w:val="auto"/>
          <w:spacing w:val="40"/>
        </w:rPr>
      </w:pPr>
    </w:p>
    <w:p w14:paraId="1BB4D107">
      <w:pPr>
        <w:snapToGrid w:val="0"/>
        <w:spacing w:line="480" w:lineRule="auto"/>
        <w:rPr>
          <w:rStyle w:val="19"/>
          <w:rFonts w:hint="eastAsia" w:ascii="仿宋" w:hAnsi="仿宋" w:eastAsia="仿宋" w:cs="仿宋"/>
          <w:b/>
          <w:color w:val="auto"/>
          <w:spacing w:val="40"/>
        </w:rPr>
      </w:pPr>
    </w:p>
    <w:p w14:paraId="4E34CE03">
      <w:pPr>
        <w:snapToGrid w:val="0"/>
        <w:spacing w:line="480" w:lineRule="auto"/>
        <w:rPr>
          <w:rStyle w:val="19"/>
          <w:rFonts w:hint="eastAsia" w:ascii="仿宋" w:hAnsi="仿宋" w:eastAsia="仿宋" w:cs="仿宋"/>
          <w:b/>
          <w:color w:val="auto"/>
          <w:spacing w:val="40"/>
        </w:rPr>
      </w:pPr>
    </w:p>
    <w:p w14:paraId="3F51B94E">
      <w:pPr>
        <w:snapToGrid w:val="0"/>
        <w:spacing w:line="480" w:lineRule="auto"/>
        <w:rPr>
          <w:rStyle w:val="19"/>
          <w:rFonts w:hint="eastAsia" w:ascii="仿宋" w:hAnsi="仿宋" w:eastAsia="仿宋" w:cs="仿宋"/>
          <w:b/>
          <w:color w:val="auto"/>
          <w:spacing w:val="40"/>
        </w:rPr>
      </w:pPr>
    </w:p>
    <w:p w14:paraId="2247F0DE">
      <w:pPr>
        <w:snapToGrid w:val="0"/>
        <w:spacing w:line="480" w:lineRule="auto"/>
        <w:rPr>
          <w:rStyle w:val="19"/>
          <w:rFonts w:hint="eastAsia" w:ascii="仿宋" w:hAnsi="仿宋" w:eastAsia="仿宋" w:cs="仿宋"/>
          <w:b/>
          <w:color w:val="auto"/>
          <w:spacing w:val="40"/>
        </w:rPr>
      </w:pPr>
    </w:p>
    <w:sdt>
      <w:sdtPr>
        <w:rPr>
          <w:rFonts w:hint="eastAsia" w:ascii="仿宋" w:hAnsi="仿宋" w:eastAsia="仿宋" w:cs="仿宋"/>
          <w:b w:val="0"/>
          <w:bCs w:val="0"/>
          <w:color w:val="auto"/>
          <w:kern w:val="2"/>
          <w:sz w:val="18"/>
          <w:szCs w:val="18"/>
          <w:u w:val="single"/>
          <w:lang w:val="zh-CN"/>
        </w:rPr>
        <w:id w:val="515271481"/>
      </w:sdtPr>
      <w:sdtEndPr>
        <w:rPr>
          <w:rFonts w:hint="eastAsia" w:ascii="仿宋" w:hAnsi="仿宋" w:eastAsia="仿宋" w:cs="仿宋"/>
          <w:b w:val="0"/>
          <w:bCs w:val="0"/>
          <w:color w:val="auto"/>
          <w:kern w:val="2"/>
          <w:sz w:val="18"/>
          <w:szCs w:val="18"/>
          <w:u w:val="single"/>
          <w:lang w:val="zh-CN"/>
        </w:rPr>
      </w:sdtEndPr>
      <w:sdtContent>
        <w:p w14:paraId="7AA6CE53">
          <w:pPr>
            <w:pStyle w:val="31"/>
            <w:rPr>
              <w:rFonts w:hint="eastAsia" w:ascii="仿宋" w:hAnsi="仿宋" w:eastAsia="仿宋" w:cs="仿宋"/>
              <w:color w:val="auto"/>
              <w:sz w:val="18"/>
              <w:szCs w:val="18"/>
            </w:rPr>
          </w:pPr>
          <w:r>
            <w:rPr>
              <w:rFonts w:hint="eastAsia" w:ascii="仿宋" w:hAnsi="仿宋" w:eastAsia="仿宋" w:cs="仿宋"/>
              <w:b w:val="0"/>
              <w:bCs w:val="0"/>
              <w:color w:val="auto"/>
              <w:kern w:val="2"/>
              <w:sz w:val="18"/>
              <w:szCs w:val="18"/>
            </w:rPr>
            <w:t xml:space="preserve">                                            </w:t>
          </w:r>
          <w:r>
            <w:rPr>
              <w:rFonts w:hint="eastAsia" w:ascii="仿宋" w:hAnsi="仿宋" w:eastAsia="仿宋" w:cs="仿宋"/>
              <w:color w:val="auto"/>
              <w:sz w:val="32"/>
              <w:szCs w:val="30"/>
              <w:lang w:val="zh-CN"/>
            </w:rPr>
            <w:t>目录</w:t>
          </w:r>
        </w:p>
        <w:p w14:paraId="5128087E"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  <w:lang w:val="en-US" w:eastAsia="zh-CN"/>
            </w:rPr>
          </w:pPr>
          <w:r>
            <w:rPr>
              <w:rFonts w:hint="eastAsia" w:ascii="仿宋" w:hAnsi="仿宋" w:eastAsia="仿宋" w:cs="仿宋"/>
              <w:color w:val="auto"/>
              <w:sz w:val="18"/>
              <w:szCs w:val="18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  <w:sz w:val="18"/>
              <w:szCs w:val="18"/>
            </w:rPr>
            <w:instrText xml:space="preserve"> TOC \o "1-3" \h \z \u </w:instrText>
          </w:r>
          <w:r>
            <w:rPr>
              <w:rFonts w:hint="eastAsia" w:ascii="仿宋" w:hAnsi="仿宋" w:eastAsia="仿宋" w:cs="仿宋"/>
              <w:color w:val="auto"/>
              <w:sz w:val="18"/>
              <w:szCs w:val="18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  <w:szCs w:val="18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  <w:szCs w:val="18"/>
            </w:rPr>
            <w:instrText xml:space="preserve"> HYPERLINK \l _Toc14226 </w:instrText>
          </w:r>
          <w:r>
            <w:rPr>
              <w:rFonts w:hint="eastAsia" w:ascii="仿宋" w:hAnsi="仿宋" w:eastAsia="仿宋" w:cs="仿宋"/>
              <w:color w:val="auto"/>
              <w:szCs w:val="18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  <w:szCs w:val="18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  <w:szCs w:val="18"/>
            </w:rPr>
            <w:instrText xml:space="preserve"> HYPERLINK \l _Toc14226 </w:instrText>
          </w:r>
          <w:r>
            <w:rPr>
              <w:rFonts w:hint="eastAsia" w:ascii="仿宋" w:hAnsi="仿宋" w:eastAsia="仿宋" w:cs="仿宋"/>
              <w:color w:val="auto"/>
              <w:szCs w:val="18"/>
            </w:rPr>
            <w:fldChar w:fldCharType="separate"/>
          </w:r>
        </w:p>
        <w:p w14:paraId="337D28F4"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  <w:lang w:val="en-US" w:eastAsia="zh-CN"/>
            </w:rPr>
          </w:pP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1、供应商报名</w:t>
          </w:r>
          <w:r>
            <w:rPr>
              <w:rFonts w:hint="eastAsia" w:ascii="仿宋" w:hAnsi="仿宋" w:eastAsia="仿宋" w:cs="仿宋"/>
              <w:color w:val="auto"/>
            </w:rPr>
            <w:tab/>
          </w: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3</w:t>
          </w:r>
        </w:p>
        <w:p w14:paraId="4BED4C05"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  <w:lang w:val="en-US" w:eastAsia="zh-CN"/>
            </w:rPr>
          </w:pP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2、注册流程</w:t>
          </w:r>
          <w:r>
            <w:rPr>
              <w:rFonts w:hint="eastAsia" w:ascii="仿宋" w:hAnsi="仿宋" w:eastAsia="仿宋" w:cs="仿宋"/>
              <w:color w:val="auto"/>
            </w:rPr>
            <w:tab/>
          </w: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3</w:t>
          </w:r>
          <w:r>
            <w:rPr>
              <w:rFonts w:hint="eastAsia" w:ascii="仿宋" w:hAnsi="仿宋" w:eastAsia="仿宋" w:cs="仿宋"/>
              <w:color w:val="auto"/>
              <w:szCs w:val="18"/>
            </w:rPr>
            <w:fldChar w:fldCharType="end"/>
          </w:r>
        </w:p>
        <w:p w14:paraId="342D624F"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</w:rPr>
          </w:pP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3、</w:t>
          </w:r>
          <w:r>
            <w:rPr>
              <w:rFonts w:hint="eastAsia" w:ascii="仿宋" w:hAnsi="仿宋" w:eastAsia="仿宋" w:cs="仿宋"/>
              <w:color w:val="auto"/>
            </w:rPr>
            <w:t>账号注册</w:t>
          </w:r>
          <w:r>
            <w:rPr>
              <w:rFonts w:hint="eastAsia" w:ascii="仿宋" w:hAnsi="仿宋" w:eastAsia="仿宋" w:cs="仿宋"/>
              <w:color w:val="auto"/>
            </w:rPr>
            <w:tab/>
          </w:r>
          <w:r>
            <w:rPr>
              <w:rFonts w:hint="eastAsia" w:ascii="仿宋" w:hAnsi="仿宋" w:eastAsia="仿宋" w:cs="仿宋"/>
              <w:color w:val="auto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</w:rPr>
            <w:instrText xml:space="preserve"> PAGEREF _Toc14226 \h </w:instrText>
          </w:r>
          <w:r>
            <w:rPr>
              <w:rFonts w:hint="eastAsia" w:ascii="仿宋" w:hAnsi="仿宋" w:eastAsia="仿宋" w:cs="仿宋"/>
              <w:color w:val="auto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</w:rPr>
            <w:t>4</w:t>
          </w:r>
          <w:r>
            <w:rPr>
              <w:rFonts w:hint="eastAsia" w:ascii="仿宋" w:hAnsi="仿宋" w:eastAsia="仿宋" w:cs="仿宋"/>
              <w:color w:val="auto"/>
            </w:rPr>
            <w:fldChar w:fldCharType="end"/>
          </w:r>
          <w:r>
            <w:rPr>
              <w:rFonts w:hint="eastAsia" w:ascii="仿宋" w:hAnsi="仿宋" w:eastAsia="仿宋" w:cs="仿宋"/>
              <w:color w:val="auto"/>
              <w:szCs w:val="18"/>
            </w:rPr>
            <w:fldChar w:fldCharType="end"/>
          </w:r>
        </w:p>
        <w:p w14:paraId="3FF38184"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</w:rPr>
          </w:pP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instrText xml:space="preserve"> HYPERLINK \l _Toc5719 </w:instrText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4</w:t>
          </w:r>
          <w:r>
            <w:rPr>
              <w:rFonts w:hint="eastAsia" w:ascii="仿宋" w:hAnsi="仿宋" w:eastAsia="仿宋" w:cs="仿宋"/>
              <w:color w:val="auto"/>
            </w:rPr>
            <w:t>、 供应商认领</w:t>
          </w:r>
          <w:r>
            <w:rPr>
              <w:rFonts w:hint="eastAsia" w:ascii="仿宋" w:hAnsi="仿宋" w:eastAsia="仿宋" w:cs="仿宋"/>
              <w:color w:val="auto"/>
            </w:rPr>
            <w:tab/>
          </w:r>
          <w:r>
            <w:rPr>
              <w:rFonts w:hint="eastAsia" w:ascii="仿宋" w:hAnsi="仿宋" w:eastAsia="仿宋" w:cs="仿宋"/>
              <w:color w:val="auto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</w:rPr>
            <w:instrText xml:space="preserve"> PAGEREF _Toc5719 \h </w:instrText>
          </w:r>
          <w:r>
            <w:rPr>
              <w:rFonts w:hint="eastAsia" w:ascii="仿宋" w:hAnsi="仿宋" w:eastAsia="仿宋" w:cs="仿宋"/>
              <w:color w:val="auto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</w:rPr>
            <w:t>6</w:t>
          </w:r>
          <w:r>
            <w:rPr>
              <w:rFonts w:hint="eastAsia" w:ascii="仿宋" w:hAnsi="仿宋" w:eastAsia="仿宋" w:cs="仿宋"/>
              <w:color w:val="auto"/>
            </w:rPr>
            <w:fldChar w:fldCharType="end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end"/>
          </w:r>
        </w:p>
        <w:p w14:paraId="7B12A8E3"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</w:rPr>
          </w:pP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instrText xml:space="preserve"> HYPERLINK \l _Toc29018 </w:instrText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5</w:t>
          </w:r>
          <w:r>
            <w:rPr>
              <w:rFonts w:hint="eastAsia" w:ascii="仿宋" w:hAnsi="仿宋" w:eastAsia="仿宋" w:cs="仿宋"/>
              <w:color w:val="auto"/>
            </w:rPr>
            <w:t>、企业档案维护</w:t>
          </w:r>
          <w:r>
            <w:rPr>
              <w:rFonts w:hint="eastAsia" w:ascii="仿宋" w:hAnsi="仿宋" w:eastAsia="仿宋" w:cs="仿宋"/>
              <w:color w:val="auto"/>
            </w:rPr>
            <w:tab/>
          </w:r>
          <w:r>
            <w:rPr>
              <w:rFonts w:hint="eastAsia" w:ascii="仿宋" w:hAnsi="仿宋" w:eastAsia="仿宋" w:cs="仿宋"/>
              <w:color w:val="auto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</w:rPr>
            <w:instrText xml:space="preserve"> PAGEREF _Toc29018 \h </w:instrText>
          </w:r>
          <w:r>
            <w:rPr>
              <w:rFonts w:hint="eastAsia" w:ascii="仿宋" w:hAnsi="仿宋" w:eastAsia="仿宋" w:cs="仿宋"/>
              <w:color w:val="auto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</w:rPr>
            <w:t>7</w:t>
          </w:r>
          <w:r>
            <w:rPr>
              <w:rFonts w:hint="eastAsia" w:ascii="仿宋" w:hAnsi="仿宋" w:eastAsia="仿宋" w:cs="仿宋"/>
              <w:color w:val="auto"/>
            </w:rPr>
            <w:fldChar w:fldCharType="end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end"/>
          </w:r>
        </w:p>
        <w:p w14:paraId="093376A0">
          <w:pPr>
            <w:pStyle w:val="14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</w:rPr>
          </w:pP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instrText xml:space="preserve"> HYPERLINK \l _Toc20527 </w:instrText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6</w:t>
          </w:r>
          <w:r>
            <w:rPr>
              <w:rFonts w:hint="eastAsia" w:ascii="仿宋" w:hAnsi="仿宋" w:eastAsia="仿宋" w:cs="仿宋"/>
              <w:color w:val="auto"/>
            </w:rPr>
            <w:t>、员工账号管理</w:t>
          </w:r>
          <w:r>
            <w:rPr>
              <w:rFonts w:hint="eastAsia" w:ascii="仿宋" w:hAnsi="仿宋" w:eastAsia="仿宋" w:cs="仿宋"/>
              <w:color w:val="auto"/>
            </w:rPr>
            <w:tab/>
          </w:r>
          <w:r>
            <w:rPr>
              <w:rFonts w:hint="eastAsia" w:ascii="仿宋" w:hAnsi="仿宋" w:eastAsia="仿宋" w:cs="仿宋"/>
              <w:color w:val="auto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</w:rPr>
            <w:instrText xml:space="preserve"> PAGEREF _Toc20527 \h </w:instrText>
          </w:r>
          <w:r>
            <w:rPr>
              <w:rFonts w:hint="eastAsia" w:ascii="仿宋" w:hAnsi="仿宋" w:eastAsia="仿宋" w:cs="仿宋"/>
              <w:color w:val="auto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</w:rPr>
            <w:t>9</w:t>
          </w:r>
          <w:r>
            <w:rPr>
              <w:rFonts w:hint="eastAsia" w:ascii="仿宋" w:hAnsi="仿宋" w:eastAsia="仿宋" w:cs="仿宋"/>
              <w:color w:val="auto"/>
            </w:rPr>
            <w:fldChar w:fldCharType="end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end"/>
          </w:r>
        </w:p>
        <w:p w14:paraId="33DF9FEE"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</w:rPr>
          </w:pP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instrText xml:space="preserve"> HYPERLINK \l _Toc26783 </w:instrText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6</w:t>
          </w:r>
          <w:r>
            <w:rPr>
              <w:rFonts w:hint="eastAsia" w:ascii="仿宋" w:hAnsi="仿宋" w:eastAsia="仿宋" w:cs="仿宋"/>
              <w:color w:val="auto"/>
            </w:rPr>
            <w:t>.1员工账号添加</w:t>
          </w:r>
          <w:r>
            <w:rPr>
              <w:rFonts w:hint="eastAsia" w:ascii="仿宋" w:hAnsi="仿宋" w:eastAsia="仿宋" w:cs="仿宋"/>
              <w:color w:val="auto"/>
            </w:rPr>
            <w:tab/>
          </w:r>
          <w:r>
            <w:rPr>
              <w:rFonts w:hint="eastAsia" w:ascii="仿宋" w:hAnsi="仿宋" w:eastAsia="仿宋" w:cs="仿宋"/>
              <w:color w:val="auto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</w:rPr>
            <w:instrText xml:space="preserve"> PAGEREF _Toc26783 \h </w:instrText>
          </w:r>
          <w:r>
            <w:rPr>
              <w:rFonts w:hint="eastAsia" w:ascii="仿宋" w:hAnsi="仿宋" w:eastAsia="仿宋" w:cs="仿宋"/>
              <w:color w:val="auto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</w:rPr>
            <w:t>9</w:t>
          </w:r>
          <w:r>
            <w:rPr>
              <w:rFonts w:hint="eastAsia" w:ascii="仿宋" w:hAnsi="仿宋" w:eastAsia="仿宋" w:cs="仿宋"/>
              <w:color w:val="auto"/>
            </w:rPr>
            <w:fldChar w:fldCharType="end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end"/>
          </w:r>
        </w:p>
        <w:p w14:paraId="549035B5"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</w:rPr>
          </w:pP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instrText xml:space="preserve"> HYPERLINK \l _Toc29113 </w:instrText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6</w:t>
          </w:r>
          <w:r>
            <w:rPr>
              <w:rFonts w:hint="eastAsia" w:ascii="仿宋" w:hAnsi="仿宋" w:eastAsia="仿宋" w:cs="仿宋"/>
              <w:color w:val="auto"/>
            </w:rPr>
            <w:t>.2权限移交</w:t>
          </w:r>
          <w:r>
            <w:rPr>
              <w:rFonts w:hint="eastAsia" w:ascii="仿宋" w:hAnsi="仿宋" w:eastAsia="仿宋" w:cs="仿宋"/>
              <w:color w:val="auto"/>
            </w:rPr>
            <w:tab/>
          </w:r>
          <w:r>
            <w:rPr>
              <w:rFonts w:hint="eastAsia" w:ascii="仿宋" w:hAnsi="仿宋" w:eastAsia="仿宋" w:cs="仿宋"/>
              <w:color w:val="auto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</w:rPr>
            <w:instrText xml:space="preserve"> PAGEREF _Toc29113 \h </w:instrText>
          </w:r>
          <w:r>
            <w:rPr>
              <w:rFonts w:hint="eastAsia" w:ascii="仿宋" w:hAnsi="仿宋" w:eastAsia="仿宋" w:cs="仿宋"/>
              <w:color w:val="auto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</w:rPr>
            <w:t>10</w:t>
          </w:r>
          <w:r>
            <w:rPr>
              <w:rFonts w:hint="eastAsia" w:ascii="仿宋" w:hAnsi="仿宋" w:eastAsia="仿宋" w:cs="仿宋"/>
              <w:color w:val="auto"/>
            </w:rPr>
            <w:fldChar w:fldCharType="end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end"/>
          </w:r>
        </w:p>
        <w:p w14:paraId="1DC4B6CA"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color w:val="auto"/>
            </w:rPr>
          </w:pP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instrText xml:space="preserve"> HYPERLINK \l _Toc10524 </w:instrText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  <w:lang w:val="en-US" w:eastAsia="zh-CN"/>
            </w:rPr>
            <w:t>6</w:t>
          </w:r>
          <w:r>
            <w:rPr>
              <w:rFonts w:hint="eastAsia" w:ascii="仿宋" w:hAnsi="仿宋" w:eastAsia="仿宋" w:cs="仿宋"/>
              <w:color w:val="auto"/>
            </w:rPr>
            <w:t>.3账号移除</w:t>
          </w:r>
          <w:r>
            <w:rPr>
              <w:rFonts w:hint="eastAsia" w:ascii="仿宋" w:hAnsi="仿宋" w:eastAsia="仿宋" w:cs="仿宋"/>
              <w:color w:val="auto"/>
            </w:rPr>
            <w:tab/>
          </w:r>
          <w:r>
            <w:rPr>
              <w:rFonts w:hint="eastAsia" w:ascii="仿宋" w:hAnsi="仿宋" w:eastAsia="仿宋" w:cs="仿宋"/>
              <w:color w:val="auto"/>
            </w:rPr>
            <w:fldChar w:fldCharType="begin"/>
          </w:r>
          <w:r>
            <w:rPr>
              <w:rFonts w:hint="eastAsia" w:ascii="仿宋" w:hAnsi="仿宋" w:eastAsia="仿宋" w:cs="仿宋"/>
              <w:color w:val="auto"/>
            </w:rPr>
            <w:instrText xml:space="preserve"> PAGEREF _Toc10524 \h </w:instrText>
          </w:r>
          <w:r>
            <w:rPr>
              <w:rFonts w:hint="eastAsia" w:ascii="仿宋" w:hAnsi="仿宋" w:eastAsia="仿宋" w:cs="仿宋"/>
              <w:color w:val="auto"/>
            </w:rPr>
            <w:fldChar w:fldCharType="separate"/>
          </w:r>
          <w:r>
            <w:rPr>
              <w:rFonts w:hint="eastAsia" w:ascii="仿宋" w:hAnsi="仿宋" w:eastAsia="仿宋" w:cs="仿宋"/>
              <w:color w:val="auto"/>
            </w:rPr>
            <w:t>10</w:t>
          </w:r>
          <w:r>
            <w:rPr>
              <w:rFonts w:hint="eastAsia" w:ascii="仿宋" w:hAnsi="仿宋" w:eastAsia="仿宋" w:cs="仿宋"/>
              <w:color w:val="auto"/>
            </w:rPr>
            <w:fldChar w:fldCharType="end"/>
          </w: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end"/>
          </w:r>
        </w:p>
        <w:p w14:paraId="4B4DD43E">
          <w:pPr>
            <w:rPr>
              <w:rFonts w:hint="eastAsia" w:ascii="仿宋" w:hAnsi="仿宋" w:eastAsia="仿宋" w:cs="仿宋"/>
              <w:color w:val="auto"/>
              <w:sz w:val="18"/>
              <w:szCs w:val="18"/>
              <w:u w:val="single"/>
              <w:lang w:val="zh-CN"/>
            </w:rPr>
          </w:pPr>
          <w:r>
            <w:rPr>
              <w:rFonts w:hint="eastAsia" w:ascii="仿宋" w:hAnsi="仿宋" w:eastAsia="仿宋" w:cs="仿宋"/>
              <w:bCs/>
              <w:color w:val="auto"/>
              <w:szCs w:val="18"/>
              <w:lang w:val="zh-CN"/>
            </w:rPr>
            <w:fldChar w:fldCharType="end"/>
          </w:r>
        </w:p>
      </w:sdtContent>
    </w:sdt>
    <w:p w14:paraId="2268B9D0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20F6E1A6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18DAF3BE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23C51BE5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794677D9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12FDF322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391C71B9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157C9D6E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35051E91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29A31FAA">
      <w:pP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 w14:paraId="6A7E582A">
      <w:pPr>
        <w:rPr>
          <w:rFonts w:hint="eastAsia" w:ascii="仿宋" w:hAnsi="仿宋" w:eastAsia="仿宋" w:cs="仿宋"/>
          <w:b/>
          <w:bCs/>
          <w:color w:val="auto"/>
          <w:sz w:val="36"/>
          <w:szCs w:val="36"/>
          <w:lang w:eastAsia="zh-CN"/>
        </w:rPr>
      </w:pPr>
    </w:p>
    <w:p w14:paraId="6487433E">
      <w:pPr>
        <w:rPr>
          <w:rFonts w:hint="eastAsia" w:ascii="仿宋" w:hAnsi="仿宋" w:eastAsia="仿宋" w:cs="仿宋"/>
          <w:b/>
          <w:bCs/>
          <w:color w:val="auto"/>
          <w:sz w:val="36"/>
          <w:szCs w:val="36"/>
          <w:lang w:eastAsia="zh-CN"/>
        </w:rPr>
      </w:pPr>
    </w:p>
    <w:p w14:paraId="44660013">
      <w:pPr>
        <w:rPr>
          <w:rFonts w:hint="eastAsia" w:ascii="仿宋" w:hAnsi="仿宋" w:eastAsia="仿宋" w:cs="仿宋"/>
          <w:b/>
          <w:bCs/>
          <w:color w:val="auto"/>
          <w:sz w:val="36"/>
          <w:szCs w:val="36"/>
          <w:lang w:eastAsia="zh-CN"/>
        </w:rPr>
      </w:pPr>
    </w:p>
    <w:p w14:paraId="798C4A48">
      <w:pPr>
        <w:ind w:firstLine="2168" w:firstLineChars="600"/>
        <w:rPr>
          <w:rFonts w:hint="eastAsia" w:ascii="仿宋" w:hAnsi="仿宋" w:eastAsia="仿宋" w:cs="仿宋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eastAsia="zh-CN"/>
        </w:rPr>
        <w:t>环金采筑招采</w:t>
      </w:r>
      <w: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  <w:t>平台</w:t>
      </w: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en-US" w:eastAsia="zh-CN"/>
        </w:rPr>
        <w:t>报名及注册</w:t>
      </w:r>
    </w:p>
    <w:p w14:paraId="1837C701">
      <w:pPr>
        <w:widowControl/>
        <w:spacing w:line="240" w:lineRule="auto"/>
        <w:rPr>
          <w:rFonts w:hint="eastAsia" w:ascii="仿宋" w:hAnsi="仿宋" w:eastAsia="仿宋" w:cs="仿宋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  <w:lang w:eastAsia="zh-CN"/>
        </w:rPr>
        <w:t>环金采筑</w:t>
      </w:r>
      <w:r>
        <w:rPr>
          <w:rFonts w:hint="eastAsia" w:ascii="仿宋" w:hAnsi="仿宋" w:eastAsia="仿宋" w:cs="仿宋"/>
          <w:color w:val="auto"/>
          <w:lang w:val="en-US" w:eastAsia="zh-CN"/>
        </w:rPr>
        <w:t>招采</w:t>
      </w:r>
      <w:r>
        <w:rPr>
          <w:rFonts w:hint="eastAsia" w:ascii="仿宋" w:hAnsi="仿宋" w:eastAsia="仿宋" w:cs="仿宋"/>
          <w:color w:val="auto"/>
        </w:rPr>
        <w:t>平</w:t>
      </w:r>
      <w:r>
        <w:rPr>
          <w:rFonts w:hint="eastAsia" w:ascii="仿宋" w:hAnsi="仿宋" w:eastAsia="仿宋" w:cs="仿宋"/>
          <w:color w:val="auto"/>
          <w:highlight w:val="none"/>
        </w:rPr>
        <w:t>台</w:t>
      </w:r>
      <w:r>
        <w:rPr>
          <w:rFonts w:hint="eastAsia" w:ascii="仿宋" w:hAnsi="仿宋" w:eastAsia="仿宋" w:cs="仿宋"/>
          <w:color w:val="auto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https://www.lc-srm.com/</w:t>
      </w:r>
      <w:r>
        <w:rPr>
          <w:rFonts w:hint="eastAsia" w:ascii="仿宋" w:hAnsi="仿宋" w:eastAsia="仿宋" w:cs="仿宋"/>
          <w:color w:val="auto"/>
          <w:szCs w:val="24"/>
          <w:highlight w:val="none"/>
        </w:rPr>
        <w:t>）</w:t>
      </w:r>
      <w:r>
        <w:rPr>
          <w:rFonts w:hint="eastAsia" w:ascii="仿宋" w:hAnsi="仿宋" w:eastAsia="仿宋" w:cs="仿宋"/>
        </w:rPr>
        <w:t>作为开发商的PC端在线招标采购平台，供应商可在外网平台注册登录，管理企业的基础信息，并进行投标操作</w:t>
      </w:r>
      <w:r>
        <w:rPr>
          <w:rFonts w:hint="eastAsia" w:ascii="仿宋" w:hAnsi="仿宋" w:eastAsia="仿宋" w:cs="仿宋"/>
          <w:color w:val="auto"/>
          <w:lang w:val="en-US" w:eastAsia="zh-CN"/>
        </w:rPr>
        <w:t>；</w:t>
      </w:r>
    </w:p>
    <w:p w14:paraId="07A19E98">
      <w:pPr>
        <w:widowControl/>
        <w:numPr>
          <w:numId w:val="0"/>
        </w:numPr>
        <w:spacing w:line="240" w:lineRule="auto"/>
        <w:rPr>
          <w:rFonts w:hint="default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  <w:t>1、在线报名：</w:t>
      </w:r>
      <w:r>
        <w:rPr>
          <w:rFonts w:hint="default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供应商</w:t>
      </w:r>
      <w:r>
        <w:rPr>
          <w:rFonts w:hint="eastAsia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根据</w:t>
      </w:r>
      <w:r>
        <w:rPr>
          <w:rFonts w:hint="default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按供应商招募公告及具体项目招标公告要求在线报名，并按报名要求提供相关资料，具体如下：</w:t>
      </w:r>
    </w:p>
    <w:p w14:paraId="327AABB0">
      <w:pPr>
        <w:widowControl/>
        <w:numPr>
          <w:ilvl w:val="0"/>
          <w:numId w:val="1"/>
        </w:numPr>
        <w:spacing w:line="240" w:lineRule="auto"/>
        <w:ind w:left="425" w:leftChars="0" w:hanging="425" w:firstLineChars="0"/>
        <w:rPr>
          <w:rFonts w:hint="default" w:ascii="仿宋" w:hAnsi="仿宋" w:eastAsia="仿宋" w:cs="仿宋"/>
          <w:b/>
          <w:bCs/>
          <w:kern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联系人信息：</w:t>
      </w:r>
      <w:r>
        <w:rPr>
          <w:rFonts w:hint="default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须填写业务联系人与实际承接人。若为挂靠情况，</w:t>
      </w:r>
      <w:r>
        <w:rPr>
          <w:rFonts w:hint="eastAsia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须</w:t>
      </w:r>
      <w:r>
        <w:rPr>
          <w:rFonts w:hint="default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如实填报挂靠相关信息；非挂靠情形，则填写公司第一责任人（例如总经理或董事长）</w:t>
      </w:r>
      <w:r>
        <w:rPr>
          <w:rFonts w:hint="eastAsia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；</w:t>
      </w:r>
    </w:p>
    <w:p w14:paraId="0ED495FE">
      <w:pPr>
        <w:widowControl/>
        <w:numPr>
          <w:ilvl w:val="0"/>
          <w:numId w:val="1"/>
        </w:numPr>
        <w:spacing w:line="240" w:lineRule="auto"/>
        <w:ind w:left="425" w:leftChars="0" w:hanging="425" w:firstLineChars="0"/>
        <w:rPr>
          <w:rFonts w:hint="default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资质文件：</w:t>
      </w:r>
      <w:r>
        <w:rPr>
          <w:rFonts w:hint="default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营业执照、资质证书及其他相关证书等</w:t>
      </w:r>
      <w:r>
        <w:rPr>
          <w:rFonts w:hint="eastAsia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扫描件</w:t>
      </w:r>
      <w:r>
        <w:rPr>
          <w:rFonts w:hint="eastAsia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；</w:t>
      </w:r>
    </w:p>
    <w:p w14:paraId="2143DBAF">
      <w:pPr>
        <w:widowControl/>
        <w:numPr>
          <w:ilvl w:val="0"/>
          <w:numId w:val="1"/>
        </w:numPr>
        <w:spacing w:line="240" w:lineRule="auto"/>
        <w:ind w:left="425" w:leftChars="0" w:hanging="425" w:firstLineChars="0"/>
        <w:rPr>
          <w:rFonts w:hint="default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业绩证明：</w:t>
      </w:r>
      <w:r>
        <w:rPr>
          <w:rFonts w:hint="default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近 2 年 3 份类似业绩</w:t>
      </w:r>
      <w:r>
        <w:rPr>
          <w:rFonts w:hint="eastAsia" w:ascii="仿宋" w:hAnsi="仿宋" w:eastAsia="仿宋" w:cs="仿宋"/>
          <w:b w:val="0"/>
          <w:bCs w:val="0"/>
          <w:kern w:val="0"/>
          <w:sz w:val="24"/>
          <w:szCs w:val="24"/>
          <w:lang w:val="en-US" w:eastAsia="zh-CN"/>
        </w:rPr>
        <w:t>合同扫描件；</w:t>
      </w:r>
    </w:p>
    <w:p w14:paraId="3534BA5D">
      <w:pPr>
        <w:widowControl/>
        <w:numPr>
          <w:ilvl w:val="0"/>
          <w:numId w:val="1"/>
        </w:numPr>
        <w:spacing w:line="240" w:lineRule="auto"/>
        <w:ind w:left="425" w:leftChars="0" w:hanging="425" w:firstLineChars="0"/>
        <w:rPr>
          <w:rFonts w:hint="default" w:ascii="仿宋" w:hAnsi="仿宋" w:eastAsia="仿宋" w:cs="仿宋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其他招标人要求提供的资料。</w:t>
      </w:r>
    </w:p>
    <w:p w14:paraId="2321C5D8">
      <w:pPr>
        <w:widowControl/>
        <w:numPr>
          <w:numId w:val="0"/>
        </w:numPr>
        <w:spacing w:line="240" w:lineRule="auto"/>
        <w:rPr>
          <w:rFonts w:hint="default" w:ascii="仿宋" w:hAnsi="仿宋" w:eastAsia="仿宋" w:cs="仿宋"/>
          <w:b w:val="0"/>
          <w:bCs w:val="0"/>
          <w:color w:val="FF0000"/>
          <w:kern w:val="0"/>
          <w:sz w:val="24"/>
          <w:szCs w:val="24"/>
          <w:highlight w:val="none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FF0000"/>
          <w:kern w:val="0"/>
          <w:sz w:val="24"/>
          <w:szCs w:val="24"/>
          <w:highlight w:val="none"/>
          <w:lang w:val="en-US" w:eastAsia="zh-CN"/>
        </w:rPr>
        <w:t>供应商资格预审通过后，招标人将安排公司考察及在线注册等后续工作。</w:t>
      </w:r>
    </w:p>
    <w:p w14:paraId="0B7B7A44">
      <w:pPr>
        <w:widowControl/>
        <w:spacing w:line="240" w:lineRule="auto"/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  <w:t xml:space="preserve">2、注册流程 </w:t>
      </w:r>
    </w:p>
    <w:p w14:paraId="43A142BF">
      <w:pPr>
        <w:widowControl/>
        <w:numPr>
          <w:ilvl w:val="0"/>
          <w:numId w:val="2"/>
        </w:numPr>
        <w:spacing w:line="240" w:lineRule="auto"/>
        <w:ind w:left="425" w:leftChars="0" w:hanging="425" w:firstLineChars="0"/>
        <w:rPr>
          <w:rFonts w:hint="eastAsia" w:ascii="仿宋" w:hAnsi="仿宋" w:eastAsia="仿宋" w:cs="仿宋"/>
          <w:b/>
          <w:bCs/>
          <w:color w:val="auto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Cs w:val="24"/>
          <w:lang w:val="en-US" w:eastAsia="zh-CN"/>
        </w:rPr>
        <w:t>资料准备</w:t>
      </w:r>
    </w:p>
    <w:p w14:paraId="5D61979C">
      <w:pPr>
        <w:pStyle w:val="40"/>
        <w:numPr>
          <w:ilvl w:val="0"/>
          <w:numId w:val="3"/>
        </w:numPr>
        <w:ind w:left="288" w:leftChars="0" w:hanging="288" w:firstLineChars="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营业执照、资质证书、社保缴费证明、安全生产许可证（如有）、品牌经销 / 资源代理授权书（如有）、合同业绩附件及其他相关证书，过期需提供延续证明。</w:t>
      </w:r>
    </w:p>
    <w:p w14:paraId="7B6C07AD">
      <w:pPr>
        <w:pStyle w:val="40"/>
        <w:numPr>
          <w:ilvl w:val="0"/>
          <w:numId w:val="3"/>
        </w:numPr>
        <w:ind w:left="288" w:leftChars="0" w:hanging="288" w:firstLineChars="0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开户证明：提交开户许可证扫描件，若与收款账户不一致，需按附件 1 模板填写授权函并盖章扫描。</w:t>
      </w:r>
    </w:p>
    <w:p w14:paraId="671DDEC8">
      <w:pPr>
        <w:widowControl/>
        <w:numPr>
          <w:ilvl w:val="0"/>
          <w:numId w:val="2"/>
        </w:numPr>
        <w:spacing w:line="240" w:lineRule="auto"/>
        <w:ind w:left="425" w:leftChars="0" w:hanging="425" w:firstLineChars="0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szCs w:val="24"/>
          <w:lang w:val="en-US" w:eastAsia="zh-CN"/>
        </w:rPr>
        <w:t>人员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 w:bidi="ar-SA"/>
        </w:rPr>
        <w:t>材料</w:t>
      </w:r>
      <w:bookmarkStart w:id="12" w:name="_GoBack"/>
      <w:bookmarkEnd w:id="12"/>
    </w:p>
    <w:p w14:paraId="7488F245">
      <w:pPr>
        <w:pStyle w:val="40"/>
        <w:numPr>
          <w:ilvl w:val="0"/>
          <w:numId w:val="4"/>
        </w:numPr>
        <w:ind w:left="288" w:leftChars="0" w:hanging="288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联系人信息</w:t>
      </w:r>
      <w:r>
        <w:rPr>
          <w:rFonts w:hint="eastAsia" w:ascii="仿宋" w:hAnsi="仿宋" w:eastAsia="仿宋" w:cs="仿宋"/>
          <w:sz w:val="24"/>
          <w:szCs w:val="24"/>
        </w:rPr>
        <w:t>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须完整填写业务联系人与实际承接人信息。若涉及挂靠情形，须如实填报挂靠相关信息；非挂靠情形，则填写公司第一责任人（例如总经理/董事长）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 w14:paraId="062F68B4">
      <w:pPr>
        <w:pStyle w:val="40"/>
        <w:numPr>
          <w:ilvl w:val="0"/>
          <w:numId w:val="4"/>
        </w:numPr>
        <w:ind w:left="288" w:leftChars="0" w:hanging="288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社保证明：业务联系人及项目经理（如有）需提供含本人姓名、单位名称（挂靠需注明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并提供附件2实际承接人信息表</w:t>
      </w:r>
      <w:r>
        <w:rPr>
          <w:rFonts w:hint="eastAsia" w:ascii="仿宋" w:hAnsi="仿宋" w:eastAsia="仿宋" w:cs="仿宋"/>
          <w:sz w:val="24"/>
          <w:szCs w:val="24"/>
        </w:rPr>
        <w:t>）近一年以上且含上月的社保缴纳证明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 w14:paraId="5A0E7DE2">
      <w:pPr>
        <w:widowControl/>
        <w:numPr>
          <w:ilvl w:val="0"/>
          <w:numId w:val="2"/>
        </w:numPr>
        <w:spacing w:line="240" w:lineRule="auto"/>
        <w:ind w:left="425" w:leftChars="0" w:hanging="425" w:firstLineChars="0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 w:bidi="ar-SA"/>
        </w:rPr>
        <w:t>合同业绩</w:t>
      </w:r>
    </w:p>
    <w:p w14:paraId="4420728A">
      <w:pPr>
        <w:pStyle w:val="40"/>
        <w:numPr>
          <w:ilvl w:val="0"/>
          <w:numId w:val="5"/>
        </w:numPr>
        <w:ind w:left="288" w:leftChars="0" w:hanging="288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时间要求：近 2 年内签订的合同。</w:t>
      </w:r>
    </w:p>
    <w:p w14:paraId="5EE336A5">
      <w:pPr>
        <w:pStyle w:val="40"/>
        <w:numPr>
          <w:ilvl w:val="0"/>
          <w:numId w:val="5"/>
        </w:numPr>
        <w:ind w:left="288" w:leftChars="0" w:hanging="288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范围要求：项目所在地须包含拟入库区域，合同范围须涵盖拟入库专业类别。</w:t>
      </w:r>
    </w:p>
    <w:p w14:paraId="6390576F">
      <w:pPr>
        <w:pStyle w:val="40"/>
        <w:numPr>
          <w:ilvl w:val="0"/>
          <w:numId w:val="5"/>
        </w:numPr>
        <w:ind w:left="288" w:leftChars="0" w:hanging="288" w:firstLineChars="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业绩要求：至少提供 3 份典型主营业务合同（如标杆企业合作、本地典型企业合作、大规模业绩、战略合作集采业绩），扫描件需清晰呈现合同封面及甲乙双方盖章页。</w:t>
      </w:r>
    </w:p>
    <w:p w14:paraId="4CE5700D">
      <w:pPr>
        <w:pStyle w:val="40"/>
        <w:numPr>
          <w:ilvl w:val="0"/>
          <w:numId w:val="0"/>
        </w:numPr>
        <w:ind w:leftChars="0"/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投标单位按照注册手册完成注册，所有带*号资料填写完毕等待招标方审核完成即可。</w:t>
      </w:r>
    </w:p>
    <w:p w14:paraId="68864D26">
      <w:pPr>
        <w:widowControl/>
        <w:spacing w:line="240" w:lineRule="auto"/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</w:pPr>
      <w:bookmarkStart w:id="0" w:name="_Toc14226"/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  <w:t>3、账号注册</w:t>
      </w:r>
      <w:bookmarkEnd w:id="0"/>
    </w:p>
    <w:p w14:paraId="1BEB814E">
      <w:pPr>
        <w:widowControl/>
        <w:spacing w:line="240" w:lineRule="auto"/>
        <w:rPr>
          <w:rFonts w:hint="eastAsia"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打开</w:t>
      </w:r>
      <w:r>
        <w:rPr>
          <w:rFonts w:hint="eastAsia" w:ascii="仿宋" w:hAnsi="仿宋" w:eastAsia="仿宋" w:cs="仿宋"/>
          <w:color w:val="auto"/>
          <w:lang w:eastAsia="zh-CN"/>
        </w:rPr>
        <w:t>环金采筑招采</w:t>
      </w:r>
      <w:r>
        <w:rPr>
          <w:rFonts w:hint="eastAsia" w:ascii="仿宋" w:hAnsi="仿宋" w:eastAsia="仿宋" w:cs="仿宋"/>
          <w:color w:val="auto"/>
        </w:rPr>
        <w:t>平台</w:t>
      </w:r>
      <w:r>
        <w:rPr>
          <w:rFonts w:hint="eastAsia" w:ascii="仿宋" w:hAnsi="仿宋" w:eastAsia="仿宋" w:cs="仿宋"/>
          <w:color w:val="auto"/>
          <w:szCs w:val="24"/>
        </w:rPr>
        <w:t>地址（</w:t>
      </w:r>
      <w:r>
        <w:rPr>
          <w:rFonts w:hint="eastAsia" w:ascii="仿宋" w:hAnsi="仿宋" w:eastAsia="仿宋" w:cs="仿宋"/>
          <w:color w:val="auto"/>
          <w:lang w:eastAsia="zh-CN"/>
        </w:rPr>
        <w:t>https://www.lc-srm.com/</w:t>
      </w:r>
      <w:r>
        <w:rPr>
          <w:rFonts w:hint="eastAsia" w:ascii="仿宋" w:hAnsi="仿宋" w:eastAsia="仿宋" w:cs="仿宋"/>
          <w:color w:val="auto"/>
          <w:szCs w:val="24"/>
        </w:rPr>
        <w:t>），点击首页右上角【企业注册】，创建企业账号提交审核。</w:t>
      </w:r>
    </w:p>
    <w:p w14:paraId="6DC4C251">
      <w:pPr>
        <w:widowControl/>
        <w:numPr>
          <w:ilvl w:val="0"/>
          <w:numId w:val="6"/>
        </w:numPr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点击【企业注册】；</w:t>
      </w:r>
    </w:p>
    <w:p w14:paraId="2C3AC5C5">
      <w:pPr>
        <w:widowControl/>
        <w:numPr>
          <w:ilvl w:val="0"/>
          <w:numId w:val="0"/>
        </w:numPr>
        <w:spacing w:line="240" w:lineRule="auto"/>
        <w:jc w:val="both"/>
        <w:rPr>
          <w:rFonts w:hint="eastAsia" w:ascii="仿宋" w:hAnsi="仿宋" w:eastAsia="仿宋" w:cs="仿宋"/>
          <w:color w:val="auto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040" cy="1246505"/>
            <wp:effectExtent l="0" t="0" r="1016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1FF2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（2）创建企业账号，填写公司名称</w:t>
      </w:r>
      <w:r>
        <w:rPr>
          <w:rFonts w:hint="eastAsia" w:ascii="仿宋" w:hAnsi="仿宋" w:eastAsia="仿宋" w:cs="仿宋"/>
          <w:color w:val="auto"/>
          <w:lang w:eastAsia="zh-CN"/>
        </w:rPr>
        <w:t>，</w:t>
      </w:r>
      <w:r>
        <w:rPr>
          <w:rFonts w:hint="eastAsia" w:ascii="仿宋" w:hAnsi="仿宋" w:eastAsia="仿宋" w:cs="仿宋"/>
          <w:color w:val="auto"/>
        </w:rPr>
        <w:t>并填写手机号，获取验证码，输入登录密码等信息，勾选已阅读，点击【注册并提交】。系统会自动校验统一社会信用代码和公司名称匹配，后续如发生变更，需联系</w:t>
      </w:r>
      <w:r>
        <w:rPr>
          <w:rFonts w:hint="eastAsia" w:ascii="仿宋" w:hAnsi="仿宋" w:eastAsia="仿宋" w:cs="仿宋"/>
          <w:color w:val="auto"/>
          <w:lang w:val="en-US" w:eastAsia="zh-CN"/>
        </w:rPr>
        <w:t>合作方</w:t>
      </w:r>
      <w:r>
        <w:rPr>
          <w:rFonts w:hint="eastAsia" w:ascii="仿宋" w:hAnsi="仿宋" w:eastAsia="仿宋" w:cs="仿宋"/>
          <w:color w:val="auto"/>
        </w:rPr>
        <w:t>进行修改。</w:t>
      </w:r>
    </w:p>
    <w:p w14:paraId="29329267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020570"/>
            <wp:effectExtent l="0" t="0" r="19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07226">
      <w:pPr>
        <w:widowControl/>
        <w:spacing w:line="240" w:lineRule="auto"/>
        <w:jc w:val="left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（3）提示注册成功，点击【进入管理平台】</w:t>
      </w:r>
      <w:r>
        <w:rPr>
          <w:rFonts w:hint="eastAsia" w:ascii="仿宋" w:hAnsi="仿宋" w:eastAsia="仿宋" w:cs="仿宋"/>
          <w:color w:val="auto"/>
        </w:rPr>
        <w:drawing>
          <wp:inline distT="0" distB="0" distL="114300" distR="114300">
            <wp:extent cx="5266690" cy="2254250"/>
            <wp:effectExtent l="9525" t="9525" r="1968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58DE4B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</w:p>
    <w:p w14:paraId="118AF2A2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1312545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617C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（4）填写企业的基本资料信息，包括基本信息</w:t>
      </w:r>
      <w:r>
        <w:rPr>
          <w:rFonts w:hint="eastAsia" w:ascii="仿宋" w:hAnsi="仿宋" w:eastAsia="仿宋" w:cs="仿宋"/>
          <w:color w:val="auto"/>
          <w:lang w:eastAsia="zh-CN"/>
        </w:rPr>
        <w:t>、</w:t>
      </w:r>
      <w:r>
        <w:rPr>
          <w:rFonts w:hint="eastAsia" w:ascii="仿宋" w:hAnsi="仿宋" w:eastAsia="仿宋" w:cs="仿宋"/>
          <w:color w:val="auto"/>
          <w:lang w:val="en-US" w:eastAsia="zh-CN"/>
        </w:rPr>
        <w:t>企业信息</w:t>
      </w:r>
      <w:r>
        <w:rPr>
          <w:rFonts w:hint="eastAsia" w:ascii="仿宋" w:hAnsi="仿宋" w:eastAsia="仿宋" w:cs="仿宋"/>
          <w:color w:val="auto"/>
        </w:rPr>
        <w:t>、企业资质、银行账号</w:t>
      </w:r>
      <w:r>
        <w:rPr>
          <w:rFonts w:hint="eastAsia" w:ascii="仿宋" w:hAnsi="仿宋" w:eastAsia="仿宋" w:cs="仿宋"/>
          <w:color w:val="auto"/>
          <w:lang w:eastAsia="zh-CN"/>
        </w:rPr>
        <w:t>、</w:t>
      </w:r>
      <w:r>
        <w:rPr>
          <w:rFonts w:hint="eastAsia" w:ascii="仿宋" w:hAnsi="仿宋" w:eastAsia="仿宋" w:cs="仿宋"/>
          <w:color w:val="auto"/>
          <w:lang w:val="en-US" w:eastAsia="zh-CN"/>
        </w:rPr>
        <w:t>业绩</w:t>
      </w:r>
      <w:r>
        <w:rPr>
          <w:rFonts w:hint="eastAsia" w:ascii="仿宋" w:hAnsi="仿宋" w:eastAsia="仿宋" w:cs="仿宋"/>
          <w:color w:val="auto"/>
        </w:rPr>
        <w:t>等，</w:t>
      </w:r>
      <w:r>
        <w:rPr>
          <w:rFonts w:hint="eastAsia" w:ascii="仿宋" w:hAnsi="仿宋" w:eastAsia="仿宋" w:cs="仿宋"/>
          <w:color w:val="FF0000"/>
        </w:rPr>
        <w:t>所有*号标注的均为必填项</w:t>
      </w:r>
      <w:r>
        <w:rPr>
          <w:rFonts w:hint="eastAsia" w:ascii="仿宋" w:hAnsi="仿宋" w:eastAsia="仿宋" w:cs="仿宋"/>
          <w:color w:val="auto"/>
        </w:rPr>
        <w:t>，填写完成后，点击【保存】【提交审核】，等待</w:t>
      </w:r>
      <w:r>
        <w:rPr>
          <w:rFonts w:hint="eastAsia" w:ascii="仿宋" w:hAnsi="仿宋" w:eastAsia="仿宋" w:cs="仿宋"/>
          <w:color w:val="auto"/>
          <w:lang w:val="en-US" w:eastAsia="zh-CN"/>
        </w:rPr>
        <w:t>对应的招标单位</w:t>
      </w:r>
      <w:r>
        <w:rPr>
          <w:rFonts w:hint="eastAsia" w:ascii="仿宋" w:hAnsi="仿宋" w:eastAsia="仿宋" w:cs="仿宋"/>
          <w:color w:val="auto"/>
        </w:rPr>
        <w:t>审核通过；</w:t>
      </w:r>
    </w:p>
    <w:p w14:paraId="4CBCABAA">
      <w:pPr>
        <w:widowControl/>
        <w:spacing w:line="240" w:lineRule="auto"/>
        <w:jc w:val="both"/>
        <w:rPr>
          <w:rFonts w:hint="eastAsia" w:ascii="仿宋" w:hAnsi="仿宋" w:eastAsia="仿宋" w:cs="仿宋"/>
          <w:b/>
          <w:color w:val="auto"/>
        </w:rPr>
      </w:pPr>
      <w:r>
        <w:rPr>
          <w:rFonts w:hint="eastAsia" w:ascii="仿宋" w:hAnsi="仿宋" w:eastAsia="仿宋" w:cs="仿宋"/>
          <w:b/>
          <w:color w:val="auto"/>
        </w:rPr>
        <w:t>填写注意事项：</w:t>
      </w:r>
    </w:p>
    <w:p w14:paraId="7685C70D">
      <w:pPr>
        <w:widowControl/>
        <w:numPr>
          <w:ilvl w:val="0"/>
          <w:numId w:val="7"/>
        </w:numPr>
        <w:spacing w:line="240" w:lineRule="auto"/>
        <w:jc w:val="both"/>
        <w:rPr>
          <w:rFonts w:hint="eastAsia" w:ascii="仿宋" w:hAnsi="仿宋" w:eastAsia="仿宋" w:cs="仿宋"/>
          <w:b w:val="0"/>
          <w:bCs/>
          <w:color w:val="auto"/>
        </w:rPr>
      </w:pPr>
      <w:r>
        <w:rPr>
          <w:rFonts w:hint="eastAsia" w:ascii="仿宋" w:hAnsi="仿宋" w:eastAsia="仿宋" w:cs="仿宋"/>
          <w:b w:val="0"/>
          <w:bCs/>
          <w:color w:val="auto"/>
          <w:szCs w:val="24"/>
          <w:lang w:val="en-US" w:eastAsia="zh-CN"/>
        </w:rPr>
        <w:t>本平台业务领域分为：地产、环保、建业（总包）、物业等；可勾兑单个或多个业务领域；每个业务领域对应的招标单位不同。</w:t>
      </w:r>
    </w:p>
    <w:p w14:paraId="45090312">
      <w:pPr>
        <w:widowControl/>
        <w:numPr>
          <w:ilvl w:val="0"/>
          <w:numId w:val="7"/>
        </w:numPr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服务资质证件部分需</w:t>
      </w:r>
      <w:r>
        <w:rPr>
          <w:rFonts w:hint="eastAsia" w:ascii="仿宋" w:hAnsi="仿宋" w:eastAsia="仿宋" w:cs="仿宋"/>
          <w:color w:val="auto"/>
          <w:lang w:val="en-US" w:eastAsia="zh-CN"/>
        </w:rPr>
        <w:t>对应业务板块招标方</w:t>
      </w:r>
      <w:r>
        <w:rPr>
          <w:rFonts w:hint="eastAsia" w:ascii="仿宋" w:hAnsi="仿宋" w:eastAsia="仿宋" w:cs="仿宋"/>
          <w:color w:val="auto"/>
        </w:rPr>
        <w:t>在后台进行系统设置，如添加后无下拉选项，则</w:t>
      </w:r>
      <w:r>
        <w:rPr>
          <w:rFonts w:hint="eastAsia" w:ascii="仿宋" w:hAnsi="仿宋" w:eastAsia="仿宋" w:cs="仿宋"/>
          <w:color w:val="auto"/>
          <w:lang w:val="en-US" w:eastAsia="zh-CN"/>
        </w:rPr>
        <w:t>说明招标方</w:t>
      </w:r>
      <w:r>
        <w:rPr>
          <w:rFonts w:hint="eastAsia" w:ascii="仿宋" w:hAnsi="仿宋" w:eastAsia="仿宋" w:cs="仿宋"/>
          <w:color w:val="auto"/>
        </w:rPr>
        <w:t>未设置，可暂时不填写</w:t>
      </w:r>
      <w:r>
        <w:rPr>
          <w:rFonts w:hint="eastAsia" w:ascii="仿宋" w:hAnsi="仿宋" w:eastAsia="仿宋" w:cs="仿宋"/>
          <w:color w:val="auto"/>
          <w:lang w:eastAsia="zh-CN"/>
        </w:rPr>
        <w:t>。</w:t>
      </w:r>
    </w:p>
    <w:p w14:paraId="0B70F5EE">
      <w:pPr>
        <w:widowControl/>
        <w:numPr>
          <w:ilvl w:val="0"/>
          <w:numId w:val="7"/>
        </w:numPr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增值税税目相关信息请联系本公司财务人员进行确认。</w:t>
      </w:r>
    </w:p>
    <w:p w14:paraId="3F410EFE">
      <w:pPr>
        <w:widowControl/>
        <w:numPr>
          <w:ilvl w:val="0"/>
          <w:numId w:val="7"/>
        </w:numPr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请按照注册资料上传相应的附件资料。</w:t>
      </w:r>
    </w:p>
    <w:p w14:paraId="18DA87FA">
      <w:pPr>
        <w:widowControl/>
        <w:numPr>
          <w:ilvl w:val="0"/>
          <w:numId w:val="7"/>
        </w:numPr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  <w:lang w:val="en-US" w:eastAsia="zh-CN"/>
        </w:rPr>
        <w:t>请各位供应商如实填写各类信息，严禁弄虚作假。</w:t>
      </w:r>
    </w:p>
    <w:p w14:paraId="30C00CCE">
      <w:pPr>
        <w:widowControl/>
        <w:numPr>
          <w:ilvl w:val="0"/>
          <w:numId w:val="8"/>
        </w:numPr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资料提交成功，可查看到已提交的资料，</w:t>
      </w:r>
      <w:r>
        <w:rPr>
          <w:rFonts w:hint="eastAsia" w:ascii="仿宋" w:hAnsi="仿宋" w:eastAsia="仿宋" w:cs="仿宋"/>
          <w:color w:val="auto"/>
          <w:lang w:val="en-US" w:eastAsia="zh-CN"/>
        </w:rPr>
        <w:t>对应板块的招标方</w:t>
      </w:r>
      <w:r>
        <w:rPr>
          <w:rFonts w:hint="eastAsia" w:ascii="仿宋" w:hAnsi="仿宋" w:eastAsia="仿宋" w:cs="仿宋"/>
          <w:color w:val="auto"/>
        </w:rPr>
        <w:t>审批前可点击【撤回】进行资料的修改。</w:t>
      </w:r>
    </w:p>
    <w:p w14:paraId="52C3C7B2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1861185"/>
            <wp:effectExtent l="9525" t="9525" r="12065" b="2159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7C9DA2">
      <w:pPr>
        <w:widowControl/>
        <w:numPr>
          <w:ilvl w:val="0"/>
          <w:numId w:val="8"/>
        </w:numPr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资料审核通过，界面跳转至已审核界面，【我的通知】中显示审核通过。</w:t>
      </w:r>
    </w:p>
    <w:p w14:paraId="5C18B527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2177415"/>
            <wp:effectExtent l="19050" t="19050" r="21590" b="133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14C99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953770"/>
            <wp:effectExtent l="19050" t="19050" r="2159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C68C4A">
      <w:pPr>
        <w:widowControl/>
        <w:numPr>
          <w:ilvl w:val="0"/>
          <w:numId w:val="8"/>
        </w:numPr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日常进行【资料更新】，更新资料后需提交审核，待</w:t>
      </w:r>
      <w:r>
        <w:rPr>
          <w:rFonts w:hint="eastAsia" w:ascii="仿宋" w:hAnsi="仿宋" w:eastAsia="仿宋" w:cs="仿宋"/>
          <w:color w:val="auto"/>
          <w:lang w:val="en-US" w:eastAsia="zh-CN"/>
        </w:rPr>
        <w:t>对应板块的招标方</w:t>
      </w:r>
      <w:r>
        <w:rPr>
          <w:rFonts w:hint="eastAsia" w:ascii="仿宋" w:hAnsi="仿宋" w:eastAsia="仿宋" w:cs="仿宋"/>
          <w:color w:val="auto"/>
        </w:rPr>
        <w:t>审核通过后，视为资料更新完毕；</w:t>
      </w:r>
    </w:p>
    <w:p w14:paraId="6A08F638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  <w:sz w:val="22"/>
        </w:rPr>
      </w:pPr>
      <w:r>
        <w:rPr>
          <w:rFonts w:hint="eastAsia" w:ascii="仿宋" w:hAnsi="仿宋" w:eastAsia="仿宋" w:cs="仿宋"/>
          <w:color w:val="auto"/>
          <w:sz w:val="22"/>
        </w:rPr>
        <w:t>注意：资料更新需</w:t>
      </w:r>
      <w:r>
        <w:rPr>
          <w:rFonts w:hint="eastAsia" w:ascii="仿宋" w:hAnsi="仿宋" w:eastAsia="仿宋" w:cs="仿宋"/>
          <w:b/>
          <w:color w:val="auto"/>
          <w:sz w:val="22"/>
        </w:rPr>
        <w:t>管理员</w:t>
      </w:r>
      <w:r>
        <w:rPr>
          <w:rFonts w:hint="eastAsia" w:ascii="仿宋" w:hAnsi="仿宋" w:eastAsia="仿宋" w:cs="仿宋"/>
          <w:color w:val="auto"/>
          <w:sz w:val="22"/>
        </w:rPr>
        <w:t>操作，提交后不可撤回，待审核状态下无【资料更新】按钮。</w:t>
      </w:r>
    </w:p>
    <w:p w14:paraId="51BE2D1B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114300" distR="114300">
            <wp:extent cx="5269230" cy="2411095"/>
            <wp:effectExtent l="9525" t="9525" r="17145" b="1778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05A3E1">
      <w:pPr>
        <w:pStyle w:val="3"/>
        <w:numPr>
          <w:ilvl w:val="0"/>
          <w:numId w:val="0"/>
        </w:numPr>
        <w:ind w:left="0" w:leftChars="0" w:firstLine="0" w:firstLineChars="0"/>
        <w:rPr>
          <w:rFonts w:hint="eastAsia" w:ascii="仿宋" w:hAnsi="仿宋" w:eastAsia="仿宋" w:cs="仿宋"/>
          <w:color w:val="auto"/>
          <w:sz w:val="28"/>
          <w:szCs w:val="28"/>
        </w:rPr>
      </w:pPr>
      <w:bookmarkStart w:id="1" w:name="_Toc5719"/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供应商认领</w:t>
      </w:r>
      <w:bookmarkEnd w:id="1"/>
      <w:r>
        <w:rPr>
          <w:rFonts w:hint="eastAsia" w:ascii="仿宋" w:hAnsi="仿宋" w:eastAsia="仿宋" w:cs="仿宋"/>
          <w:color w:val="auto"/>
          <w:sz w:val="28"/>
          <w:szCs w:val="28"/>
        </w:rPr>
        <w:t xml:space="preserve"> </w:t>
      </w:r>
    </w:p>
    <w:p w14:paraId="27AE5A60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（</w:t>
      </w:r>
      <w:r>
        <w:rPr>
          <w:rFonts w:hint="eastAsia" w:ascii="仿宋" w:hAnsi="仿宋" w:eastAsia="仿宋" w:cs="仿宋"/>
          <w:color w:val="auto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</w:rPr>
        <w:t>）如</w:t>
      </w:r>
      <w:r>
        <w:rPr>
          <w:rFonts w:hint="eastAsia" w:ascii="仿宋" w:hAnsi="仿宋" w:eastAsia="仿宋" w:cs="仿宋"/>
          <w:color w:val="auto"/>
          <w:lang w:val="en-US" w:eastAsia="zh-CN"/>
        </w:rPr>
        <w:t>招标方</w:t>
      </w:r>
      <w:r>
        <w:rPr>
          <w:rFonts w:hint="eastAsia" w:ascii="仿宋" w:hAnsi="仿宋" w:eastAsia="仿宋" w:cs="仿宋"/>
          <w:color w:val="auto"/>
        </w:rPr>
        <w:t>已将公司纳入内部系统储备库，则会弹出以下界面，需维护管理员信息，点击【申请认领】；</w:t>
      </w:r>
    </w:p>
    <w:p w14:paraId="1724FD60">
      <w:pPr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114300" distR="114300">
            <wp:extent cx="5266690" cy="2099945"/>
            <wp:effectExtent l="9525" t="9525" r="19685" b="1143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t="115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E1F780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（</w:t>
      </w:r>
      <w:r>
        <w:rPr>
          <w:rFonts w:hint="eastAsia" w:ascii="仿宋" w:hAnsi="仿宋" w:eastAsia="仿宋" w:cs="仿宋"/>
          <w:color w:val="auto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</w:rPr>
        <w:t>）提交认领后，待</w:t>
      </w:r>
      <w:r>
        <w:rPr>
          <w:rFonts w:hint="eastAsia" w:ascii="仿宋" w:hAnsi="仿宋" w:eastAsia="仿宋" w:cs="仿宋"/>
          <w:color w:val="auto"/>
          <w:lang w:val="en-US" w:eastAsia="zh-CN"/>
        </w:rPr>
        <w:t>招标方</w:t>
      </w:r>
      <w:r>
        <w:rPr>
          <w:rFonts w:hint="eastAsia" w:ascii="仿宋" w:hAnsi="仿宋" w:eastAsia="仿宋" w:cs="仿宋"/>
          <w:color w:val="auto"/>
        </w:rPr>
        <w:t>审核认领信息；</w:t>
      </w:r>
    </w:p>
    <w:p w14:paraId="6B20C8D0">
      <w:pPr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114300" distR="114300">
            <wp:extent cx="5267960" cy="1588770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128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88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F905E">
      <w:pPr>
        <w:pStyle w:val="3"/>
        <w:rPr>
          <w:rFonts w:hint="eastAsia" w:ascii="仿宋" w:hAnsi="仿宋" w:eastAsia="仿宋" w:cs="仿宋"/>
          <w:b w:val="0"/>
          <w:color w:val="auto"/>
        </w:rPr>
      </w:pPr>
      <w:bookmarkStart w:id="2" w:name="_Toc29018"/>
      <w:r>
        <w:rPr>
          <w:rFonts w:hint="eastAsia" w:ascii="仿宋" w:hAnsi="仿宋" w:eastAsia="仿宋" w:cs="仿宋"/>
          <w:color w:val="auto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</w:rPr>
        <w:t>、企业档案维护</w:t>
      </w:r>
      <w:bookmarkEnd w:id="2"/>
    </w:p>
    <w:p w14:paraId="643F4AA1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bookmarkStart w:id="3" w:name="_Hlk75364719"/>
      <w:r>
        <w:rPr>
          <w:rFonts w:hint="eastAsia" w:ascii="仿宋" w:hAnsi="仿宋" w:eastAsia="仿宋" w:cs="仿宋"/>
          <w:color w:val="auto"/>
        </w:rPr>
        <w:t>注意：只有【管理员】才有权限进行企业档案维护。</w:t>
      </w:r>
    </w:p>
    <w:bookmarkEnd w:id="3"/>
    <w:p w14:paraId="34163210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bookmarkStart w:id="4" w:name="_Hlk75364738"/>
      <w:r>
        <w:rPr>
          <w:rFonts w:hint="eastAsia" w:ascii="仿宋" w:hAnsi="仿宋" w:eastAsia="仿宋" w:cs="仿宋"/>
          <w:color w:val="auto"/>
        </w:rPr>
        <w:t>（1）</w:t>
      </w:r>
      <w:r>
        <w:rPr>
          <w:rFonts w:hint="eastAsia" w:ascii="仿宋" w:hAnsi="仿宋" w:eastAsia="仿宋" w:cs="仿宋"/>
          <w:color w:val="auto"/>
          <w:lang w:val="en-US" w:eastAsia="zh-CN"/>
        </w:rPr>
        <w:t>招标方</w:t>
      </w:r>
      <w:r>
        <w:rPr>
          <w:rFonts w:hint="eastAsia" w:ascii="仿宋" w:hAnsi="仿宋" w:eastAsia="仿宋" w:cs="仿宋"/>
          <w:color w:val="auto"/>
        </w:rPr>
        <w:t>审核不通过，被驳回后，【我的通知】中显示资料已被驳回，企业档案中企业档案的状态变为“被打回”，并显示打回原因；</w:t>
      </w:r>
    </w:p>
    <w:bookmarkEnd w:id="4"/>
    <w:p w14:paraId="072799E3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1583055"/>
            <wp:effectExtent l="9525" t="9525" r="12065" b="2032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5DF281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2298700"/>
            <wp:effectExtent l="9525" t="9525" r="12065" b="1587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C7DA8">
      <w:pPr>
        <w:widowControl/>
        <w:numPr>
          <w:ilvl w:val="0"/>
          <w:numId w:val="9"/>
        </w:numPr>
        <w:spacing w:line="240" w:lineRule="auto"/>
        <w:rPr>
          <w:rFonts w:hint="eastAsia" w:ascii="仿宋" w:hAnsi="仿宋" w:eastAsia="仿宋" w:cs="仿宋"/>
          <w:color w:val="auto"/>
        </w:rPr>
      </w:pPr>
      <w:bookmarkStart w:id="5" w:name="_Hlk75364878"/>
      <w:r>
        <w:rPr>
          <w:rFonts w:hint="eastAsia" w:ascii="仿宋" w:hAnsi="仿宋" w:eastAsia="仿宋" w:cs="仿宋"/>
          <w:color w:val="auto"/>
        </w:rPr>
        <w:t>企业档案被驳回后，管理员可根据</w:t>
      </w:r>
      <w:r>
        <w:rPr>
          <w:rFonts w:hint="eastAsia" w:ascii="仿宋" w:hAnsi="仿宋" w:eastAsia="仿宋" w:cs="仿宋"/>
          <w:color w:val="auto"/>
          <w:lang w:val="en-US" w:eastAsia="zh-CN"/>
        </w:rPr>
        <w:t>招标方</w:t>
      </w:r>
      <w:r>
        <w:rPr>
          <w:rFonts w:hint="eastAsia" w:ascii="仿宋" w:hAnsi="仿宋" w:eastAsia="仿宋" w:cs="仿宋"/>
          <w:color w:val="auto"/>
        </w:rPr>
        <w:t>反馈的不通过原因，对企业档案的资料进行补充完善，点击【资料更新】-【提交审核】，重新编辑企业档案信息并提交；</w:t>
      </w:r>
    </w:p>
    <w:p w14:paraId="636DDCA2">
      <w:pPr>
        <w:widowControl/>
        <w:spacing w:line="240" w:lineRule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517775"/>
            <wp:effectExtent l="9525" t="9525" r="12065" b="1270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575E1">
      <w:pPr>
        <w:widowControl/>
        <w:numPr>
          <w:ilvl w:val="0"/>
          <w:numId w:val="10"/>
        </w:numPr>
        <w:spacing w:line="240" w:lineRule="auto"/>
        <w:jc w:val="both"/>
        <w:rPr>
          <w:rFonts w:hint="eastAsia" w:ascii="仿宋" w:hAnsi="仿宋" w:eastAsia="仿宋" w:cs="仿宋"/>
        </w:rPr>
      </w:pPr>
      <w:bookmarkStart w:id="6" w:name="_Hlk75364945"/>
      <w:r>
        <w:rPr>
          <w:rFonts w:hint="eastAsia" w:ascii="仿宋" w:hAnsi="仿宋" w:eastAsia="仿宋" w:cs="仿宋"/>
        </w:rPr>
        <w:t>当</w:t>
      </w:r>
      <w:r>
        <w:rPr>
          <w:rFonts w:hint="eastAsia" w:ascii="仿宋" w:hAnsi="仿宋" w:eastAsia="仿宋" w:cs="仿宋"/>
          <w:lang w:val="en-US" w:eastAsia="zh-CN"/>
        </w:rPr>
        <w:t>招标方</w:t>
      </w:r>
      <w:r>
        <w:rPr>
          <w:rFonts w:hint="eastAsia" w:ascii="仿宋" w:hAnsi="仿宋" w:eastAsia="仿宋" w:cs="仿宋"/>
        </w:rPr>
        <w:t>审核通过后，【我的通知】中显示资料已被审核通过，企业档案中企业档案的状态变为已审核，此时资料正式更新完毕；</w:t>
      </w:r>
    </w:p>
    <w:bookmarkEnd w:id="6"/>
    <w:p w14:paraId="0A426719">
      <w:pPr>
        <w:widowControl/>
        <w:spacing w:line="24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638935"/>
            <wp:effectExtent l="9525" t="9525" r="12065" b="1524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D5197">
      <w:pPr>
        <w:widowControl/>
        <w:spacing w:line="24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550795"/>
            <wp:effectExtent l="9525" t="9525" r="12065" b="1778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B3B07">
      <w:pPr>
        <w:widowControl/>
        <w:numPr>
          <w:ilvl w:val="0"/>
          <w:numId w:val="10"/>
        </w:numPr>
        <w:spacing w:line="24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当供应商的资料后续有变更时，可进入企业档案中进行【资料更新】并提交即可。</w:t>
      </w:r>
    </w:p>
    <w:p w14:paraId="7FC843B7">
      <w:pPr>
        <w:widowControl/>
        <w:spacing w:line="240" w:lineRule="auto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464435"/>
            <wp:effectExtent l="9525" t="9525" r="12065" b="1524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D0833C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bookmarkStart w:id="7" w:name="_Hlk75365011"/>
      <w:r>
        <w:rPr>
          <w:rFonts w:hint="eastAsia" w:ascii="仿宋" w:hAnsi="仿宋" w:eastAsia="仿宋" w:cs="仿宋"/>
        </w:rPr>
        <w:t>（5）当</w:t>
      </w:r>
      <w:r>
        <w:rPr>
          <w:rFonts w:hint="eastAsia" w:ascii="仿宋" w:hAnsi="仿宋" w:eastAsia="仿宋" w:cs="仿宋"/>
          <w:b/>
        </w:rPr>
        <w:t>企业名称</w:t>
      </w:r>
      <w:r>
        <w:rPr>
          <w:rFonts w:hint="eastAsia" w:ascii="仿宋" w:hAnsi="仿宋" w:eastAsia="仿宋" w:cs="仿宋"/>
        </w:rPr>
        <w:t>后续有变更时，需联系</w:t>
      </w:r>
      <w:r>
        <w:rPr>
          <w:rFonts w:hint="eastAsia" w:ascii="仿宋" w:hAnsi="仿宋" w:eastAsia="仿宋" w:cs="仿宋"/>
          <w:lang w:val="en-US" w:eastAsia="zh-CN"/>
        </w:rPr>
        <w:t>招标方</w:t>
      </w:r>
      <w:r>
        <w:rPr>
          <w:rFonts w:hint="eastAsia" w:ascii="仿宋" w:hAnsi="仿宋" w:eastAsia="仿宋" w:cs="仿宋"/>
        </w:rPr>
        <w:t>，由</w:t>
      </w:r>
      <w:r>
        <w:rPr>
          <w:rFonts w:hint="eastAsia" w:ascii="仿宋" w:hAnsi="仿宋" w:eastAsia="仿宋" w:cs="仿宋"/>
          <w:lang w:val="en-US" w:eastAsia="zh-CN"/>
        </w:rPr>
        <w:t>招标方</w:t>
      </w:r>
      <w:r>
        <w:rPr>
          <w:rFonts w:hint="eastAsia" w:ascii="仿宋" w:hAnsi="仿宋" w:eastAsia="仿宋" w:cs="仿宋"/>
        </w:rPr>
        <w:t>进行相应操作。</w:t>
      </w:r>
      <w:bookmarkEnd w:id="5"/>
      <w:bookmarkEnd w:id="7"/>
    </w:p>
    <w:p w14:paraId="288A211C">
      <w:pPr>
        <w:pStyle w:val="3"/>
        <w:rPr>
          <w:rFonts w:hint="eastAsia" w:ascii="仿宋" w:hAnsi="仿宋" w:eastAsia="仿宋" w:cs="仿宋"/>
          <w:color w:val="auto"/>
          <w:sz w:val="28"/>
          <w:szCs w:val="28"/>
        </w:rPr>
      </w:pPr>
      <w:bookmarkStart w:id="8" w:name="_Toc20527"/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、员工账号管理</w:t>
      </w:r>
      <w:bookmarkEnd w:id="8"/>
    </w:p>
    <w:p w14:paraId="777FE432">
      <w:pPr>
        <w:pStyle w:val="4"/>
        <w:rPr>
          <w:rFonts w:hint="eastAsia" w:ascii="仿宋" w:hAnsi="仿宋" w:eastAsia="仿宋" w:cs="仿宋"/>
          <w:b/>
          <w:bCs w:val="0"/>
          <w:color w:val="auto"/>
          <w:sz w:val="24"/>
          <w:szCs w:val="24"/>
        </w:rPr>
      </w:pPr>
      <w:bookmarkStart w:id="9" w:name="_Toc26783"/>
      <w:r>
        <w:rPr>
          <w:rFonts w:hint="eastAsia" w:ascii="仿宋" w:hAnsi="仿宋" w:eastAsia="仿宋" w:cs="仿宋"/>
          <w:b/>
          <w:bCs w:val="0"/>
          <w:color w:val="auto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 w:val="0"/>
          <w:color w:val="auto"/>
          <w:sz w:val="24"/>
          <w:szCs w:val="24"/>
        </w:rPr>
        <w:t>.1员工账号添加</w:t>
      </w:r>
      <w:bookmarkEnd w:id="9"/>
    </w:p>
    <w:p w14:paraId="05EAFC4E">
      <w:pPr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t>公司管理员点击【企业档案】-【资料更新】-【联系人】-【新增】，填写需要添加的员工账号信息，点击【提交审核】，待</w:t>
      </w:r>
      <w:r>
        <w:rPr>
          <w:rFonts w:hint="eastAsia" w:ascii="仿宋" w:hAnsi="仿宋" w:eastAsia="仿宋" w:cs="仿宋"/>
          <w:color w:val="auto"/>
          <w:lang w:val="en-US" w:eastAsia="zh-CN"/>
        </w:rPr>
        <w:t>招标方</w:t>
      </w:r>
      <w:r>
        <w:rPr>
          <w:rFonts w:hint="eastAsia" w:ascii="仿宋" w:hAnsi="仿宋" w:eastAsia="仿宋" w:cs="仿宋"/>
          <w:color w:val="auto"/>
        </w:rPr>
        <w:t>审核通过，该联系人信息将出现在账号管理中，进入【账号管理】，点击【开通账号】。</w:t>
      </w:r>
    </w:p>
    <w:p w14:paraId="5F03D139">
      <w:pPr>
        <w:rPr>
          <w:rFonts w:hint="eastAsia" w:ascii="仿宋" w:hAnsi="仿宋" w:eastAsia="仿宋" w:cs="仿宋"/>
          <w:color w:val="auto"/>
          <w:sz w:val="21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color w:val="auto"/>
        </w:rPr>
        <w:t>注：</w:t>
      </w:r>
      <w:r>
        <w:rPr>
          <w:rFonts w:hint="eastAsia" w:ascii="仿宋" w:hAnsi="仿宋" w:eastAsia="仿宋" w:cs="仿宋"/>
          <w:color w:val="auto"/>
          <w:sz w:val="21"/>
          <w:szCs w:val="21"/>
          <w:shd w:val="clear" w:color="auto" w:fill="FFFFFF"/>
        </w:rPr>
        <w:t>初始密码为该手机号后六位，将以短信的形式发送给对方。</w:t>
      </w:r>
    </w:p>
    <w:p w14:paraId="4CB71B61">
      <w:pPr>
        <w:rPr>
          <w:rFonts w:hint="eastAsia" w:ascii="仿宋" w:hAnsi="仿宋" w:eastAsia="仿宋" w:cs="仿宋"/>
          <w:color w:val="auto"/>
          <w:sz w:val="21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1983105"/>
            <wp:effectExtent l="9525" t="9525" r="12065" b="1397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1E6815">
      <w:pPr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1898650"/>
            <wp:effectExtent l="19050" t="19050" r="21590" b="2540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17BBF">
      <w:pPr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1772920"/>
            <wp:effectExtent l="19050" t="19050" r="21590" b="1778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A3A2A">
      <w:pPr>
        <w:pStyle w:val="4"/>
        <w:rPr>
          <w:rFonts w:hint="eastAsia" w:ascii="仿宋" w:hAnsi="仿宋" w:eastAsia="仿宋" w:cs="仿宋"/>
          <w:b/>
          <w:bCs w:val="0"/>
          <w:color w:val="auto"/>
          <w:sz w:val="28"/>
        </w:rPr>
      </w:pPr>
      <w:bookmarkStart w:id="10" w:name="_Toc29113"/>
      <w:r>
        <w:rPr>
          <w:rFonts w:hint="eastAsia" w:ascii="仿宋" w:hAnsi="仿宋" w:eastAsia="仿宋" w:cs="仿宋"/>
          <w:b/>
          <w:bCs w:val="0"/>
          <w:color w:val="auto"/>
          <w:sz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 w:val="0"/>
          <w:color w:val="auto"/>
          <w:sz w:val="28"/>
        </w:rPr>
        <w:t>.2权限移交</w:t>
      </w:r>
      <w:bookmarkEnd w:id="10"/>
    </w:p>
    <w:p w14:paraId="33F811F8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由于公司员工离职等原因，需要将公司管理员的账号权限移交给公司其他员工，则需先登录公司管理员的账号，点击【账号管理】，选择移交人，点击【设为管理员】，就此完成管理权限移交。</w:t>
      </w:r>
    </w:p>
    <w:p w14:paraId="2D496675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1812925"/>
            <wp:effectExtent l="19050" t="19050" r="21590" b="1587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291C6D">
      <w:pPr>
        <w:pStyle w:val="4"/>
        <w:rPr>
          <w:rFonts w:hint="eastAsia" w:ascii="仿宋" w:hAnsi="仿宋" w:eastAsia="仿宋" w:cs="仿宋"/>
          <w:b/>
          <w:bCs w:val="0"/>
          <w:color w:val="auto"/>
          <w:sz w:val="28"/>
        </w:rPr>
      </w:pPr>
      <w:bookmarkStart w:id="11" w:name="_Toc10524"/>
      <w:r>
        <w:rPr>
          <w:rFonts w:hint="eastAsia" w:ascii="仿宋" w:hAnsi="仿宋" w:eastAsia="仿宋" w:cs="仿宋"/>
          <w:b/>
          <w:bCs w:val="0"/>
          <w:color w:val="auto"/>
          <w:sz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 w:val="0"/>
          <w:color w:val="auto"/>
          <w:sz w:val="28"/>
        </w:rPr>
        <w:t>.3账号移除</w:t>
      </w:r>
      <w:bookmarkEnd w:id="11"/>
    </w:p>
    <w:p w14:paraId="25B8EC68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由于公司员工离职等原因，需要将联系人的账号权限移除，则需先登录公司管理员的账号，点击</w:t>
      </w:r>
      <w:r>
        <w:rPr>
          <w:rFonts w:hint="eastAsia" w:ascii="仿宋" w:hAnsi="仿宋" w:eastAsia="仿宋" w:cs="仿宋"/>
          <w:color w:val="auto"/>
        </w:rPr>
        <w:t>【企业档案】-【资料更新】-【联系人】</w:t>
      </w:r>
      <w:r>
        <w:rPr>
          <w:rFonts w:hint="eastAsia" w:ascii="仿宋" w:hAnsi="仿宋" w:eastAsia="仿宋" w:cs="仿宋"/>
          <w:color w:val="auto"/>
          <w:szCs w:val="24"/>
        </w:rPr>
        <w:t>，选择对应账号点击【删除】，在弹窗提醒中点击【确定】，再点击【提交审核】待</w:t>
      </w:r>
      <w:r>
        <w:rPr>
          <w:rFonts w:hint="eastAsia" w:ascii="仿宋" w:hAnsi="仿宋" w:eastAsia="仿宋" w:cs="仿宋"/>
          <w:color w:val="auto"/>
          <w:lang w:val="en-US" w:eastAsia="zh-CN"/>
        </w:rPr>
        <w:t>招标方</w:t>
      </w:r>
      <w:r>
        <w:rPr>
          <w:rFonts w:hint="eastAsia" w:ascii="仿宋" w:hAnsi="仿宋" w:eastAsia="仿宋" w:cs="仿宋"/>
          <w:color w:val="auto"/>
          <w:szCs w:val="24"/>
        </w:rPr>
        <w:t>审核通过，及完成账号移除。</w:t>
      </w:r>
    </w:p>
    <w:p w14:paraId="7224628F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1772920"/>
            <wp:effectExtent l="9525" t="9525" r="12065" b="2095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7C64E">
      <w:pPr>
        <w:widowControl/>
        <w:spacing w:line="240" w:lineRule="auto"/>
        <w:jc w:val="both"/>
        <w:rPr>
          <w:rFonts w:hint="eastAsia" w:ascii="仿宋" w:hAnsi="仿宋" w:eastAsia="仿宋" w:cs="仿宋"/>
          <w:color w:val="auto"/>
          <w:lang w:val="en-US" w:eastAsia="zh-CN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0" distR="0">
            <wp:extent cx="5274310" cy="1882140"/>
            <wp:effectExtent l="9525" t="9525" r="12065" b="1333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8EAD8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53CE27"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53CE27"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DCA12C"/>
    <w:multiLevelType w:val="singleLevel"/>
    <w:tmpl w:val="94DCA12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9CBB5A8A"/>
    <w:multiLevelType w:val="singleLevel"/>
    <w:tmpl w:val="9CBB5A8A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E8E4C481"/>
    <w:multiLevelType w:val="singleLevel"/>
    <w:tmpl w:val="E8E4C481"/>
    <w:lvl w:ilvl="0" w:tentative="0">
      <w:start w:val="5"/>
      <w:numFmt w:val="decimal"/>
      <w:suff w:val="nothing"/>
      <w:lvlText w:val="（%1）"/>
      <w:lvlJc w:val="left"/>
    </w:lvl>
  </w:abstractNum>
  <w:abstractNum w:abstractNumId="3">
    <w:nsid w:val="ECC8812D"/>
    <w:multiLevelType w:val="singleLevel"/>
    <w:tmpl w:val="ECC8812D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0E6D4D58"/>
    <w:multiLevelType w:val="singleLevel"/>
    <w:tmpl w:val="0E6D4D5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132F6E09"/>
    <w:multiLevelType w:val="singleLevel"/>
    <w:tmpl w:val="132F6E09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14AF6A87"/>
    <w:multiLevelType w:val="singleLevel"/>
    <w:tmpl w:val="14AF6A87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428A38CB"/>
    <w:multiLevelType w:val="multilevel"/>
    <w:tmpl w:val="428A38C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/>
        <w:bCs/>
        <w:sz w:val="24"/>
        <w:szCs w:val="24"/>
      </w:rPr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8">
    <w:nsid w:val="59941A84"/>
    <w:multiLevelType w:val="singleLevel"/>
    <w:tmpl w:val="59941A84"/>
    <w:lvl w:ilvl="0" w:tentative="0">
      <w:start w:val="3"/>
      <w:numFmt w:val="decimal"/>
      <w:suff w:val="nothing"/>
      <w:lvlText w:val="（%1）"/>
      <w:lvlJc w:val="left"/>
    </w:lvl>
  </w:abstractNum>
  <w:abstractNum w:abstractNumId="9">
    <w:nsid w:val="5D75CEB0"/>
    <w:multiLevelType w:val="singleLevel"/>
    <w:tmpl w:val="5D75CEB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F7"/>
    <w:rsid w:val="00056DEA"/>
    <w:rsid w:val="00061848"/>
    <w:rsid w:val="00070674"/>
    <w:rsid w:val="000813AF"/>
    <w:rsid w:val="000826AD"/>
    <w:rsid w:val="000829F5"/>
    <w:rsid w:val="00084033"/>
    <w:rsid w:val="00095021"/>
    <w:rsid w:val="0009743A"/>
    <w:rsid w:val="000B4232"/>
    <w:rsid w:val="000C5F01"/>
    <w:rsid w:val="000D7C0E"/>
    <w:rsid w:val="00103F12"/>
    <w:rsid w:val="001127C9"/>
    <w:rsid w:val="00127DE0"/>
    <w:rsid w:val="00136EB3"/>
    <w:rsid w:val="00157146"/>
    <w:rsid w:val="00167CA7"/>
    <w:rsid w:val="00181763"/>
    <w:rsid w:val="001873B0"/>
    <w:rsid w:val="001B1743"/>
    <w:rsid w:val="001B2D6C"/>
    <w:rsid w:val="001C28A2"/>
    <w:rsid w:val="001E1277"/>
    <w:rsid w:val="001E133B"/>
    <w:rsid w:val="001E66D5"/>
    <w:rsid w:val="0020387F"/>
    <w:rsid w:val="002075B1"/>
    <w:rsid w:val="0021060D"/>
    <w:rsid w:val="00261E84"/>
    <w:rsid w:val="002656FF"/>
    <w:rsid w:val="00284E98"/>
    <w:rsid w:val="00292DFD"/>
    <w:rsid w:val="00293639"/>
    <w:rsid w:val="00295C6D"/>
    <w:rsid w:val="002A3FF2"/>
    <w:rsid w:val="002B28D5"/>
    <w:rsid w:val="002B7B57"/>
    <w:rsid w:val="002C2687"/>
    <w:rsid w:val="002D6509"/>
    <w:rsid w:val="00303513"/>
    <w:rsid w:val="0031125B"/>
    <w:rsid w:val="00316AFD"/>
    <w:rsid w:val="00326AD9"/>
    <w:rsid w:val="003558A1"/>
    <w:rsid w:val="00362920"/>
    <w:rsid w:val="00371A0C"/>
    <w:rsid w:val="003744F7"/>
    <w:rsid w:val="003769EB"/>
    <w:rsid w:val="003B0693"/>
    <w:rsid w:val="003C1CCF"/>
    <w:rsid w:val="003D1E24"/>
    <w:rsid w:val="003D49EA"/>
    <w:rsid w:val="003E01C4"/>
    <w:rsid w:val="003E08B9"/>
    <w:rsid w:val="003E62F5"/>
    <w:rsid w:val="003F4D94"/>
    <w:rsid w:val="00417973"/>
    <w:rsid w:val="00423204"/>
    <w:rsid w:val="00436B2C"/>
    <w:rsid w:val="00467663"/>
    <w:rsid w:val="004808D5"/>
    <w:rsid w:val="004814BA"/>
    <w:rsid w:val="00491A5B"/>
    <w:rsid w:val="00495D02"/>
    <w:rsid w:val="004B2692"/>
    <w:rsid w:val="004C049A"/>
    <w:rsid w:val="004C1B96"/>
    <w:rsid w:val="004C5579"/>
    <w:rsid w:val="004E0403"/>
    <w:rsid w:val="004E0B27"/>
    <w:rsid w:val="004E10B5"/>
    <w:rsid w:val="004E6593"/>
    <w:rsid w:val="004F5F33"/>
    <w:rsid w:val="004F6166"/>
    <w:rsid w:val="0050348D"/>
    <w:rsid w:val="0050513E"/>
    <w:rsid w:val="005119E4"/>
    <w:rsid w:val="00521DE0"/>
    <w:rsid w:val="00523C64"/>
    <w:rsid w:val="00533383"/>
    <w:rsid w:val="005414D6"/>
    <w:rsid w:val="0054528C"/>
    <w:rsid w:val="005643DF"/>
    <w:rsid w:val="005719BE"/>
    <w:rsid w:val="00572434"/>
    <w:rsid w:val="0058376C"/>
    <w:rsid w:val="0058755E"/>
    <w:rsid w:val="0059738D"/>
    <w:rsid w:val="005B5C2A"/>
    <w:rsid w:val="005B6714"/>
    <w:rsid w:val="00617622"/>
    <w:rsid w:val="006268CE"/>
    <w:rsid w:val="0062777C"/>
    <w:rsid w:val="0063527A"/>
    <w:rsid w:val="00650059"/>
    <w:rsid w:val="00675785"/>
    <w:rsid w:val="00681B9C"/>
    <w:rsid w:val="006923F7"/>
    <w:rsid w:val="006A2CC4"/>
    <w:rsid w:val="006A4513"/>
    <w:rsid w:val="006A72E8"/>
    <w:rsid w:val="006B4D14"/>
    <w:rsid w:val="006C4FE9"/>
    <w:rsid w:val="0070071F"/>
    <w:rsid w:val="00700F38"/>
    <w:rsid w:val="00706678"/>
    <w:rsid w:val="00711084"/>
    <w:rsid w:val="0071765B"/>
    <w:rsid w:val="0072004E"/>
    <w:rsid w:val="00726C51"/>
    <w:rsid w:val="00761BC1"/>
    <w:rsid w:val="0077717F"/>
    <w:rsid w:val="007A56CC"/>
    <w:rsid w:val="007B120B"/>
    <w:rsid w:val="007B27E5"/>
    <w:rsid w:val="007B38D7"/>
    <w:rsid w:val="007B6506"/>
    <w:rsid w:val="007C09A1"/>
    <w:rsid w:val="007C48F8"/>
    <w:rsid w:val="007D173C"/>
    <w:rsid w:val="007D4BB8"/>
    <w:rsid w:val="00803EB3"/>
    <w:rsid w:val="008230EF"/>
    <w:rsid w:val="00831F68"/>
    <w:rsid w:val="00853F58"/>
    <w:rsid w:val="00860C1D"/>
    <w:rsid w:val="0087775C"/>
    <w:rsid w:val="00885C50"/>
    <w:rsid w:val="008A202B"/>
    <w:rsid w:val="008A4A80"/>
    <w:rsid w:val="008B68E5"/>
    <w:rsid w:val="008C2966"/>
    <w:rsid w:val="008E1493"/>
    <w:rsid w:val="008E70D2"/>
    <w:rsid w:val="008E79C6"/>
    <w:rsid w:val="008F4C84"/>
    <w:rsid w:val="00905AC5"/>
    <w:rsid w:val="00922F8C"/>
    <w:rsid w:val="00944EA1"/>
    <w:rsid w:val="009465EC"/>
    <w:rsid w:val="00963A74"/>
    <w:rsid w:val="009750D7"/>
    <w:rsid w:val="009903F3"/>
    <w:rsid w:val="009A6319"/>
    <w:rsid w:val="009A78C3"/>
    <w:rsid w:val="009C6DAE"/>
    <w:rsid w:val="009D1E62"/>
    <w:rsid w:val="009E181E"/>
    <w:rsid w:val="009E4D02"/>
    <w:rsid w:val="00A40DB8"/>
    <w:rsid w:val="00A4486E"/>
    <w:rsid w:val="00A46B8F"/>
    <w:rsid w:val="00A62DF6"/>
    <w:rsid w:val="00A70B5A"/>
    <w:rsid w:val="00A828DD"/>
    <w:rsid w:val="00A83428"/>
    <w:rsid w:val="00A91EB8"/>
    <w:rsid w:val="00AA3755"/>
    <w:rsid w:val="00AC5B53"/>
    <w:rsid w:val="00AC61A0"/>
    <w:rsid w:val="00AC73F2"/>
    <w:rsid w:val="00B02CCC"/>
    <w:rsid w:val="00B231F2"/>
    <w:rsid w:val="00B2580E"/>
    <w:rsid w:val="00B2598F"/>
    <w:rsid w:val="00B3363C"/>
    <w:rsid w:val="00B371C5"/>
    <w:rsid w:val="00B600E1"/>
    <w:rsid w:val="00B6378A"/>
    <w:rsid w:val="00B80286"/>
    <w:rsid w:val="00B80931"/>
    <w:rsid w:val="00B847BD"/>
    <w:rsid w:val="00B85AA5"/>
    <w:rsid w:val="00BB0025"/>
    <w:rsid w:val="00BB3472"/>
    <w:rsid w:val="00BD1C5E"/>
    <w:rsid w:val="00BD2E3B"/>
    <w:rsid w:val="00BD461A"/>
    <w:rsid w:val="00BE1640"/>
    <w:rsid w:val="00C31DE3"/>
    <w:rsid w:val="00C41D85"/>
    <w:rsid w:val="00C54497"/>
    <w:rsid w:val="00C56F13"/>
    <w:rsid w:val="00C608B8"/>
    <w:rsid w:val="00C61073"/>
    <w:rsid w:val="00C658D8"/>
    <w:rsid w:val="00C850CE"/>
    <w:rsid w:val="00CB68BD"/>
    <w:rsid w:val="00CC2D35"/>
    <w:rsid w:val="00CF5742"/>
    <w:rsid w:val="00CF5782"/>
    <w:rsid w:val="00CF5BB9"/>
    <w:rsid w:val="00CF7784"/>
    <w:rsid w:val="00D06A70"/>
    <w:rsid w:val="00D1291D"/>
    <w:rsid w:val="00D168B4"/>
    <w:rsid w:val="00D33310"/>
    <w:rsid w:val="00D41E71"/>
    <w:rsid w:val="00D51960"/>
    <w:rsid w:val="00D538F2"/>
    <w:rsid w:val="00D602F4"/>
    <w:rsid w:val="00D72BC2"/>
    <w:rsid w:val="00D80C3C"/>
    <w:rsid w:val="00D86476"/>
    <w:rsid w:val="00D96B15"/>
    <w:rsid w:val="00DB4302"/>
    <w:rsid w:val="00DC5BD6"/>
    <w:rsid w:val="00DD5D9D"/>
    <w:rsid w:val="00E47A47"/>
    <w:rsid w:val="00E50D40"/>
    <w:rsid w:val="00E559B7"/>
    <w:rsid w:val="00E616B3"/>
    <w:rsid w:val="00E6335C"/>
    <w:rsid w:val="00E73945"/>
    <w:rsid w:val="00E73FDB"/>
    <w:rsid w:val="00E754CD"/>
    <w:rsid w:val="00E87079"/>
    <w:rsid w:val="00E96A38"/>
    <w:rsid w:val="00EA59EF"/>
    <w:rsid w:val="00EC085A"/>
    <w:rsid w:val="00EC1E4C"/>
    <w:rsid w:val="00EC235D"/>
    <w:rsid w:val="00ED5AF9"/>
    <w:rsid w:val="00EF0D4F"/>
    <w:rsid w:val="00EF169F"/>
    <w:rsid w:val="00EF62C0"/>
    <w:rsid w:val="00EF6E31"/>
    <w:rsid w:val="00EF7BF9"/>
    <w:rsid w:val="00F060D4"/>
    <w:rsid w:val="00F07514"/>
    <w:rsid w:val="00F16E43"/>
    <w:rsid w:val="00F510D3"/>
    <w:rsid w:val="00F516E1"/>
    <w:rsid w:val="00F60066"/>
    <w:rsid w:val="00F70151"/>
    <w:rsid w:val="00F82CF7"/>
    <w:rsid w:val="00F83D02"/>
    <w:rsid w:val="00F94032"/>
    <w:rsid w:val="00F952F8"/>
    <w:rsid w:val="00FA13FA"/>
    <w:rsid w:val="00FA4645"/>
    <w:rsid w:val="00FA773F"/>
    <w:rsid w:val="00FB62DE"/>
    <w:rsid w:val="00FC185F"/>
    <w:rsid w:val="00FC6C17"/>
    <w:rsid w:val="00FF2B9D"/>
    <w:rsid w:val="0106551C"/>
    <w:rsid w:val="037A2150"/>
    <w:rsid w:val="03A15B86"/>
    <w:rsid w:val="03D61C11"/>
    <w:rsid w:val="050A0B01"/>
    <w:rsid w:val="058A028E"/>
    <w:rsid w:val="058C2DE4"/>
    <w:rsid w:val="068524EA"/>
    <w:rsid w:val="076E4158"/>
    <w:rsid w:val="079A2DD6"/>
    <w:rsid w:val="090B43A7"/>
    <w:rsid w:val="0AD22A42"/>
    <w:rsid w:val="0CF24BAE"/>
    <w:rsid w:val="0DD7383B"/>
    <w:rsid w:val="0E2D0DBF"/>
    <w:rsid w:val="0FDC3D0D"/>
    <w:rsid w:val="10202A4D"/>
    <w:rsid w:val="12A101E6"/>
    <w:rsid w:val="12CD4EC9"/>
    <w:rsid w:val="13E87902"/>
    <w:rsid w:val="13F86644"/>
    <w:rsid w:val="14641A3C"/>
    <w:rsid w:val="147C1560"/>
    <w:rsid w:val="14D20231"/>
    <w:rsid w:val="14DA5EDE"/>
    <w:rsid w:val="15566B94"/>
    <w:rsid w:val="15B24273"/>
    <w:rsid w:val="16B1181D"/>
    <w:rsid w:val="17AB075C"/>
    <w:rsid w:val="1867602E"/>
    <w:rsid w:val="1885509A"/>
    <w:rsid w:val="1A676756"/>
    <w:rsid w:val="1BA3662C"/>
    <w:rsid w:val="1E5C0F70"/>
    <w:rsid w:val="1F3F421B"/>
    <w:rsid w:val="1FFB3979"/>
    <w:rsid w:val="206871FF"/>
    <w:rsid w:val="208A0CDD"/>
    <w:rsid w:val="20B836C3"/>
    <w:rsid w:val="20D50C91"/>
    <w:rsid w:val="21073BB9"/>
    <w:rsid w:val="212C53A7"/>
    <w:rsid w:val="212C7D93"/>
    <w:rsid w:val="2141585D"/>
    <w:rsid w:val="233502ED"/>
    <w:rsid w:val="24787E0E"/>
    <w:rsid w:val="2482393F"/>
    <w:rsid w:val="24CA71D4"/>
    <w:rsid w:val="26736C9E"/>
    <w:rsid w:val="26DC5B3F"/>
    <w:rsid w:val="27751A49"/>
    <w:rsid w:val="281B5E93"/>
    <w:rsid w:val="28210337"/>
    <w:rsid w:val="285A4889"/>
    <w:rsid w:val="2893256C"/>
    <w:rsid w:val="28F836A1"/>
    <w:rsid w:val="293F319D"/>
    <w:rsid w:val="298A55E4"/>
    <w:rsid w:val="2A4705E8"/>
    <w:rsid w:val="2AA879C1"/>
    <w:rsid w:val="2ADA0AF9"/>
    <w:rsid w:val="2AFB2837"/>
    <w:rsid w:val="2CD656A8"/>
    <w:rsid w:val="2D3A7D3A"/>
    <w:rsid w:val="2DC13AAB"/>
    <w:rsid w:val="2E334537"/>
    <w:rsid w:val="2E7646E1"/>
    <w:rsid w:val="2EFA59BE"/>
    <w:rsid w:val="2F235445"/>
    <w:rsid w:val="33773AD7"/>
    <w:rsid w:val="344168C0"/>
    <w:rsid w:val="34812199"/>
    <w:rsid w:val="34DA78A3"/>
    <w:rsid w:val="35A453AC"/>
    <w:rsid w:val="36390E16"/>
    <w:rsid w:val="375605D6"/>
    <w:rsid w:val="38D5710F"/>
    <w:rsid w:val="397E5485"/>
    <w:rsid w:val="3A064FC2"/>
    <w:rsid w:val="3A4F2C7B"/>
    <w:rsid w:val="3D1E3037"/>
    <w:rsid w:val="3DDE31A7"/>
    <w:rsid w:val="3F8B545A"/>
    <w:rsid w:val="403B7A69"/>
    <w:rsid w:val="42482B28"/>
    <w:rsid w:val="42591CD5"/>
    <w:rsid w:val="42BE7250"/>
    <w:rsid w:val="43A87920"/>
    <w:rsid w:val="45377A91"/>
    <w:rsid w:val="46935977"/>
    <w:rsid w:val="477C0F52"/>
    <w:rsid w:val="48502B9C"/>
    <w:rsid w:val="49EC2544"/>
    <w:rsid w:val="4E916846"/>
    <w:rsid w:val="4FE74EE5"/>
    <w:rsid w:val="50F94B8D"/>
    <w:rsid w:val="53F95C74"/>
    <w:rsid w:val="557D5E05"/>
    <w:rsid w:val="55FC51DC"/>
    <w:rsid w:val="57CF1504"/>
    <w:rsid w:val="57D820FE"/>
    <w:rsid w:val="57D96245"/>
    <w:rsid w:val="582C4DFB"/>
    <w:rsid w:val="5A0E3747"/>
    <w:rsid w:val="5A643534"/>
    <w:rsid w:val="5A8C1681"/>
    <w:rsid w:val="5C0E58FA"/>
    <w:rsid w:val="5CC33C4F"/>
    <w:rsid w:val="5D0A53B9"/>
    <w:rsid w:val="5DE91A5E"/>
    <w:rsid w:val="5EF94793"/>
    <w:rsid w:val="5F4C0082"/>
    <w:rsid w:val="5FE9667E"/>
    <w:rsid w:val="60926AE1"/>
    <w:rsid w:val="645438C1"/>
    <w:rsid w:val="64FD1903"/>
    <w:rsid w:val="6577167E"/>
    <w:rsid w:val="65D05222"/>
    <w:rsid w:val="65E63B50"/>
    <w:rsid w:val="66185EBB"/>
    <w:rsid w:val="66EB1A41"/>
    <w:rsid w:val="67631C8A"/>
    <w:rsid w:val="676E5D34"/>
    <w:rsid w:val="67824A99"/>
    <w:rsid w:val="678C062A"/>
    <w:rsid w:val="687753D8"/>
    <w:rsid w:val="688B7648"/>
    <w:rsid w:val="68F2580C"/>
    <w:rsid w:val="69C43306"/>
    <w:rsid w:val="6B1E38BA"/>
    <w:rsid w:val="6C1A28E8"/>
    <w:rsid w:val="6DDE6F32"/>
    <w:rsid w:val="6F5D31E9"/>
    <w:rsid w:val="705C6C7B"/>
    <w:rsid w:val="70FA54BD"/>
    <w:rsid w:val="712204D4"/>
    <w:rsid w:val="715334C8"/>
    <w:rsid w:val="720D1BE3"/>
    <w:rsid w:val="723D3CB1"/>
    <w:rsid w:val="73731D78"/>
    <w:rsid w:val="73BD32E5"/>
    <w:rsid w:val="73D856B6"/>
    <w:rsid w:val="747D77BF"/>
    <w:rsid w:val="75014A5F"/>
    <w:rsid w:val="75050D66"/>
    <w:rsid w:val="75974475"/>
    <w:rsid w:val="75E624DA"/>
    <w:rsid w:val="76331E63"/>
    <w:rsid w:val="763563CC"/>
    <w:rsid w:val="7784176A"/>
    <w:rsid w:val="791176C0"/>
    <w:rsid w:val="799118C2"/>
    <w:rsid w:val="7B223F84"/>
    <w:rsid w:val="7B69759C"/>
    <w:rsid w:val="7C2E769A"/>
    <w:rsid w:val="7C5D4A17"/>
    <w:rsid w:val="7CFD7310"/>
    <w:rsid w:val="7F391166"/>
    <w:rsid w:val="7F393955"/>
    <w:rsid w:val="7FD8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7"/>
    <w:semiHidden/>
    <w:unhideWhenUsed/>
    <w:qFormat/>
    <w:uiPriority w:val="99"/>
    <w:rPr>
      <w:rFonts w:ascii="宋体" w:eastAsia="宋体"/>
      <w:szCs w:val="24"/>
    </w:r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5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1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正文（绿盟科技） Char"/>
    <w:link w:val="21"/>
    <w:qFormat/>
    <w:locked/>
    <w:uiPriority w:val="0"/>
    <w:rPr>
      <w:rFonts w:ascii="Arial" w:hAnsi="Arial" w:eastAsia="宋体" w:cs="Times New Roman"/>
      <w:szCs w:val="21"/>
    </w:rPr>
  </w:style>
  <w:style w:type="paragraph" w:customStyle="1" w:styleId="21">
    <w:name w:val="正文（绿盟科技）"/>
    <w:link w:val="20"/>
    <w:qFormat/>
    <w:uiPriority w:val="0"/>
    <w:pPr>
      <w:spacing w:line="300" w:lineRule="auto"/>
    </w:pPr>
    <w:rPr>
      <w:rFonts w:ascii="Arial" w:hAnsi="Arial" w:eastAsia="宋体" w:cs="Times New Roman"/>
      <w:kern w:val="2"/>
      <w:sz w:val="21"/>
      <w:szCs w:val="21"/>
      <w:lang w:val="en-US" w:eastAsia="zh-CN" w:bidi="ar-SA"/>
    </w:rPr>
  </w:style>
  <w:style w:type="paragraph" w:customStyle="1" w:styleId="22">
    <w:name w:val="文档属性标题（绿盟科技）"/>
    <w:basedOn w:val="21"/>
    <w:qFormat/>
    <w:uiPriority w:val="0"/>
    <w:pPr>
      <w:framePr w:hSpace="180" w:wrap="around" w:vAnchor="text" w:hAnchor="margin" w:xAlign="inside" w:y="121"/>
    </w:pPr>
    <w:rPr>
      <w:b/>
      <w:sz w:val="18"/>
    </w:rPr>
  </w:style>
  <w:style w:type="paragraph" w:customStyle="1" w:styleId="23">
    <w:name w:val="封面版权声明（绿盟科技）"/>
    <w:basedOn w:val="22"/>
    <w:qFormat/>
    <w:uiPriority w:val="0"/>
    <w:pPr>
      <w:framePr w:wrap="around"/>
      <w:jc w:val="right"/>
    </w:pPr>
  </w:style>
  <w:style w:type="paragraph" w:customStyle="1" w:styleId="24">
    <w:name w:val="文档属性（绿盟科技）"/>
    <w:basedOn w:val="22"/>
    <w:qFormat/>
    <w:uiPriority w:val="0"/>
    <w:pPr>
      <w:framePr w:wrap="around"/>
      <w:ind w:left="50" w:leftChars="50"/>
    </w:pPr>
    <w:rPr>
      <w:b w:val="0"/>
    </w:rPr>
  </w:style>
  <w:style w:type="character" w:customStyle="1" w:styleId="25">
    <w:name w:val="批注框文本 字符"/>
    <w:basedOn w:val="17"/>
    <w:link w:val="9"/>
    <w:semiHidden/>
    <w:qFormat/>
    <w:uiPriority w:val="99"/>
    <w:rPr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</w:style>
  <w:style w:type="character" w:customStyle="1" w:styleId="27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b/>
      <w:bCs/>
      <w:sz w:val="32"/>
      <w:szCs w:val="32"/>
    </w:rPr>
  </w:style>
  <w:style w:type="character" w:customStyle="1" w:styleId="29">
    <w:name w:val="标题 4 字符"/>
    <w:basedOn w:val="17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1 字符"/>
    <w:basedOn w:val="17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2">
    <w:name w:val="Table Heading"/>
    <w:basedOn w:val="33"/>
    <w:qFormat/>
    <w:uiPriority w:val="0"/>
    <w:pPr>
      <w:spacing w:before="120" w:after="120"/>
    </w:pPr>
    <w:rPr>
      <w:b/>
    </w:rPr>
  </w:style>
  <w:style w:type="paragraph" w:customStyle="1" w:styleId="33">
    <w:name w:val="Table Text"/>
    <w:basedOn w:val="1"/>
    <w:qFormat/>
    <w:uiPriority w:val="0"/>
    <w:pPr>
      <w:keepLines/>
      <w:overflowPunct w:val="0"/>
      <w:autoSpaceDE w:val="0"/>
      <w:autoSpaceDN w:val="0"/>
      <w:adjustRightInd w:val="0"/>
      <w:textAlignment w:val="baseline"/>
    </w:pPr>
    <w:rPr>
      <w:rFonts w:ascii="宋体"/>
      <w:kern w:val="0"/>
      <w:sz w:val="16"/>
      <w:szCs w:val="20"/>
    </w:rPr>
  </w:style>
  <w:style w:type="paragraph" w:customStyle="1" w:styleId="34">
    <w:name w:val="无间隔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5">
    <w:name w:val="页眉 字符"/>
    <w:basedOn w:val="17"/>
    <w:link w:val="11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6">
    <w:name w:val="页脚 字符"/>
    <w:basedOn w:val="17"/>
    <w:link w:val="10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7">
    <w:name w:val="文档结构图 字符"/>
    <w:basedOn w:val="17"/>
    <w:link w:val="6"/>
    <w:semiHidden/>
    <w:qFormat/>
    <w:uiPriority w:val="99"/>
    <w:rPr>
      <w:rFonts w:ascii="宋体" w:hAnsiTheme="minorHAnsi" w:cstheme="minorBidi"/>
      <w:kern w:val="2"/>
      <w:sz w:val="24"/>
      <w:szCs w:val="24"/>
    </w:rPr>
  </w:style>
  <w:style w:type="paragraph" w:styleId="38">
    <w:name w:val="List Paragraph"/>
    <w:basedOn w:val="1"/>
    <w:qFormat/>
    <w:uiPriority w:val="99"/>
    <w:pPr>
      <w:ind w:firstLine="420" w:firstLineChars="200"/>
    </w:pPr>
  </w:style>
  <w:style w:type="paragraph" w:customStyle="1" w:styleId="39">
    <w:name w:val="xl51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b/>
      <w:bCs/>
      <w:kern w:val="0"/>
      <w:sz w:val="32"/>
      <w:szCs w:val="32"/>
    </w:rPr>
  </w:style>
  <w:style w:type="paragraph" w:customStyle="1" w:styleId="40">
    <w:name w:val="_Style 13"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22347F-054C-42DB-AED1-4164A14B6C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750</Words>
  <Characters>816</Characters>
  <Lines>37</Lines>
  <Paragraphs>10</Paragraphs>
  <TotalTime>14</TotalTime>
  <ScaleCrop>false</ScaleCrop>
  <LinksUpToDate>false</LinksUpToDate>
  <CharactersWithSpaces>896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2018-08-10T08:55:00Z</dcterms:created>
  <dc:creator>Administrator</dc:creator>
  <cp:lastModifiedBy>韩慧祥</cp:lastModifiedBy>
  <dcterms:modified xsi:type="dcterms:W3CDTF">2025-10-19T05:07:52Z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8A32D4A727664C6CB805828FDE5840E1_13</vt:lpwstr>
  </property>
  <property fmtid="{D5CDD505-2E9C-101B-9397-08002B2CF9AE}" pid="4" name="KSOTemplateDocerSaveRecord">
    <vt:lpwstr>eyJoZGlkIjoiNzIzNThjMzk3NmJiMGJlY2ExODc5MTg3ZjBkZjJlZmUifQ==</vt:lpwstr>
  </property>
</Properties>
</file>